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78" w:lineRule="exact"/>
        <w:rPr>
          <w:sz w:val="24"/>
          <w:szCs w:val="24"/>
          <w:color w:val="auto"/>
        </w:rPr>
      </w:pPr>
    </w:p>
    <w:p>
      <w:pPr>
        <w:jc w:val="center"/>
        <w:ind w:left="4320" w:right="1200" w:hanging="3105"/>
        <w:spacing w:after="0" w:line="412" w:lineRule="auto"/>
        <w:tabs>
          <w:tab w:leader="none" w:pos="14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w:t>
      </w:r>
      <w:r>
        <w:rPr>
          <w:rFonts w:ascii="Times New Roman" w:cs="Times New Roman" w:eastAsia="Times New Roman" w:hAnsi="Times New Roman"/>
          <w:sz w:val="18"/>
          <w:szCs w:val="18"/>
          <w:color w:val="auto"/>
        </w:rPr>
        <w:t>For the fiscal year ended July 31, 2017</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67" w:lineRule="exact"/>
        <w:rPr>
          <w:sz w:val="24"/>
          <w:szCs w:val="24"/>
          <w:color w:val="auto"/>
        </w:rPr>
      </w:pPr>
    </w:p>
    <w:p>
      <w:pPr>
        <w:ind w:left="1240" w:hanging="210"/>
        <w:spacing w:after="0"/>
        <w:tabs>
          <w:tab w:leader="none" w:pos="12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 w:lineRule="exact"/>
        <w:rPr>
          <w:sz w:val="24"/>
          <w:szCs w:val="24"/>
          <w:color w:val="auto"/>
        </w:rPr>
      </w:pPr>
    </w:p>
    <w:p>
      <w:pPr>
        <w:ind w:left="4060"/>
        <w:spacing w:after="0"/>
        <w:tabs>
          <w:tab w:leader="none" w:pos="662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001-09614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1394460</wp:posOffset>
            </wp:positionH>
            <wp:positionV relativeFrom="paragraph">
              <wp:posOffset>154940</wp:posOffset>
            </wp:positionV>
            <wp:extent cx="4476750" cy="797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476750" cy="7975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Vail Resorts,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3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60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360" w:type="dxa"/>
            <w:vAlign w:val="bottom"/>
          </w:tcPr>
          <w:p>
            <w:pPr>
              <w:jc w:val="right"/>
              <w:ind w:right="2150"/>
              <w:spacing w:after="0"/>
              <w:rPr>
                <w:sz w:val="20"/>
                <w:szCs w:val="20"/>
                <w:color w:val="auto"/>
              </w:rPr>
            </w:pPr>
            <w:r>
              <w:rPr>
                <w:rFonts w:ascii="Times New Roman" w:cs="Times New Roman" w:eastAsia="Times New Roman" w:hAnsi="Times New Roman"/>
                <w:sz w:val="18"/>
                <w:szCs w:val="18"/>
                <w:b w:val="1"/>
                <w:bCs w:val="1"/>
                <w:color w:val="auto"/>
              </w:rPr>
              <w:t>51-0291762</w:t>
            </w:r>
          </w:p>
        </w:tc>
      </w:tr>
      <w:tr>
        <w:trPr>
          <w:trHeight w:val="27"/>
        </w:trPr>
        <w:tc>
          <w:tcPr>
            <w:tcW w:w="56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572"/>
        </w:trPr>
        <w:tc>
          <w:tcPr>
            <w:tcW w:w="60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390 Interlocken Crescent</w:t>
            </w:r>
          </w:p>
        </w:tc>
        <w:tc>
          <w:tcPr>
            <w:tcW w:w="5360" w:type="dxa"/>
            <w:vAlign w:val="bottom"/>
          </w:tcPr>
          <w:p>
            <w:pPr>
              <w:spacing w:after="0"/>
              <w:rPr>
                <w:sz w:val="24"/>
                <w:szCs w:val="24"/>
                <w:color w:val="auto"/>
              </w:rPr>
            </w:pPr>
          </w:p>
        </w:tc>
      </w:tr>
      <w:tr>
        <w:trPr>
          <w:trHeight w:val="238"/>
        </w:trPr>
        <w:tc>
          <w:tcPr>
            <w:tcW w:w="60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Broomfield, Colorado</w:t>
            </w:r>
          </w:p>
        </w:tc>
        <w:tc>
          <w:tcPr>
            <w:tcW w:w="5360" w:type="dxa"/>
            <w:vAlign w:val="bottom"/>
          </w:tcPr>
          <w:p>
            <w:pPr>
              <w:jc w:val="right"/>
              <w:ind w:right="2370"/>
              <w:spacing w:after="0"/>
              <w:rPr>
                <w:sz w:val="20"/>
                <w:szCs w:val="20"/>
                <w:color w:val="auto"/>
              </w:rPr>
            </w:pPr>
            <w:r>
              <w:rPr>
                <w:rFonts w:ascii="Times New Roman" w:cs="Times New Roman" w:eastAsia="Times New Roman" w:hAnsi="Times New Roman"/>
                <w:sz w:val="18"/>
                <w:szCs w:val="18"/>
                <w:b w:val="1"/>
                <w:bCs w:val="1"/>
                <w:color w:val="auto"/>
              </w:rPr>
              <w:t>80021</w:t>
            </w:r>
          </w:p>
        </w:tc>
      </w:tr>
      <w:tr>
        <w:trPr>
          <w:trHeight w:val="27"/>
        </w:trPr>
        <w:tc>
          <w:tcPr>
            <w:tcW w:w="56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(303) 404-1800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2192020</wp:posOffset>
            </wp:positionH>
            <wp:positionV relativeFrom="paragraph">
              <wp:posOffset>34290</wp:posOffset>
            </wp:positionV>
            <wp:extent cx="2872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0" w:lineRule="exact"/>
        <w:rPr>
          <w:sz w:val="24"/>
          <w:szCs w:val="24"/>
          <w:color w:val="auto"/>
        </w:rPr>
      </w:pPr>
    </w:p>
    <w:p>
      <w:pPr>
        <w:spacing w:after="0" w:line="29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56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171"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34290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57"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color w:val="auto"/>
        </w:rPr>
        <w:t>(Title of class)</w:t>
      </w:r>
    </w:p>
    <w:p>
      <w:pPr>
        <w:spacing w:after="0" w:line="27" w:lineRule="exact"/>
        <w:rPr>
          <w:sz w:val="24"/>
          <w:szCs w:val="24"/>
          <w:color w:val="auto"/>
        </w:rPr>
      </w:pPr>
    </w:p>
    <w:p>
      <w:pPr>
        <w:ind w:right="1760"/>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x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Indicate by check mark if the registrant is not required to file reports pursuant to Section 13 or Section 15(d) of the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x No</w:t>
      </w:r>
    </w:p>
    <w:p>
      <w:pPr>
        <w:spacing w:after="0" w:line="125"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x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ectPr>
          <w:pgSz w:w="11900" w:h="16838" w:orient="portrait"/>
          <w:cols w:equalWidth="0" w:num="1">
            <w:col w:w="11420"/>
          </w:cols>
          <w:pgMar w:left="240" w:top="1121" w:right="239" w:bottom="1440" w:gutter="0" w:footer="0" w:header="0"/>
        </w:sectPr>
      </w:pPr>
    </w:p>
    <w:bookmarkStart w:id="1" w:name="page2"/>
    <w:bookmarkEnd w:id="1"/>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w:t>
      </w:r>
    </w:p>
    <w:p>
      <w:pPr>
        <w:spacing w:after="0" w:line="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x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76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34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10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61"/>
        </w:trPr>
        <w:tc>
          <w:tcPr>
            <w:tcW w:w="2060" w:type="dxa"/>
            <w:vAlign w:val="bottom"/>
          </w:tcPr>
          <w:p>
            <w:pPr>
              <w:spacing w:after="0"/>
              <w:rPr>
                <w:sz w:val="5"/>
                <w:szCs w:val="5"/>
                <w:color w:val="auto"/>
              </w:rPr>
            </w:pPr>
          </w:p>
        </w:tc>
        <w:tc>
          <w:tcPr>
            <w:tcW w:w="4760" w:type="dxa"/>
            <w:vAlign w:val="bottom"/>
            <w:vMerge w:val="continue"/>
          </w:tcPr>
          <w:p>
            <w:pPr>
              <w:spacing w:after="0"/>
              <w:rPr>
                <w:sz w:val="5"/>
                <w:szCs w:val="5"/>
                <w:color w:val="auto"/>
              </w:rPr>
            </w:pPr>
          </w:p>
        </w:tc>
        <w:tc>
          <w:tcPr>
            <w:tcW w:w="34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760" w:type="dxa"/>
            <w:vAlign w:val="bottom"/>
          </w:tcPr>
          <w:p>
            <w:pPr>
              <w:ind w:left="4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4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3"/>
        </w:trPr>
        <w:tc>
          <w:tcPr>
            <w:tcW w:w="20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42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88"/>
        </w:trPr>
        <w:tc>
          <w:tcPr>
            <w:tcW w:w="2060" w:type="dxa"/>
            <w:vAlign w:val="bottom"/>
          </w:tcPr>
          <w:p>
            <w:pPr>
              <w:spacing w:after="0"/>
              <w:rPr>
                <w:sz w:val="7"/>
                <w:szCs w:val="7"/>
                <w:color w:val="auto"/>
              </w:rPr>
            </w:pPr>
          </w:p>
        </w:tc>
        <w:tc>
          <w:tcPr>
            <w:tcW w:w="4760" w:type="dxa"/>
            <w:vAlign w:val="bottom"/>
          </w:tcPr>
          <w:p>
            <w:pPr>
              <w:spacing w:after="0"/>
              <w:rPr>
                <w:sz w:val="7"/>
                <w:szCs w:val="7"/>
                <w:color w:val="auto"/>
              </w:rPr>
            </w:pPr>
          </w:p>
        </w:tc>
        <w:tc>
          <w:tcPr>
            <w:tcW w:w="342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p>
    <w:p>
      <w:pPr>
        <w:spacing w:after="0" w:line="22" w:lineRule="exact"/>
        <w:rPr>
          <w:sz w:val="20"/>
          <w:szCs w:val="20"/>
          <w:color w:val="auto"/>
        </w:rPr>
      </w:pPr>
    </w:p>
    <w:p>
      <w:pPr>
        <w:ind w:left="260" w:hanging="252"/>
        <w:spacing w:after="0"/>
        <w:tabs>
          <w:tab w:leader="none" w:pos="2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Yes x No</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based on the closing price of $171.54 per share as reported on the New York Stock Exchange Composite Tape on January 31, 2017 (the last business day of the registrant’s most recently completed second fiscal quarter) was $6,782,234,961.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25, 2017, 40,019,342 shares of Common Stock were outstanding.</w:t>
      </w:r>
    </w:p>
    <w:p>
      <w:pPr>
        <w:spacing w:after="0" w:line="17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its 2017 Annual Meeting of Stockholders to be filed with the Securities and Exchange Commission within 120 days of July 31, 2017 are incorporated by reference herein into Part III, Items 10 through 14, of this Annual Report.</w:t>
      </w:r>
    </w:p>
    <w:p>
      <w:pPr>
        <w:sectPr>
          <w:pgSz w:w="11900" w:h="16838" w:orient="portrait"/>
          <w:cols w:equalWidth="0" w:num="1">
            <w:col w:w="11420"/>
          </w:cols>
          <w:pgMar w:left="240" w:top="117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60" w:type="dxa"/>
            <w:vAlign w:val="bottom"/>
            <w:gridSpan w:val="13"/>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35"/>
        </w:trPr>
        <w:tc>
          <w:tcPr>
            <w:tcW w:w="1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50"/>
        </w:trPr>
        <w:tc>
          <w:tcPr>
            <w:tcW w:w="16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620" w:type="dxa"/>
            <w:vAlign w:val="bottom"/>
            <w:gridSpan w:val="10"/>
            <w:shd w:val="clear" w:color="auto" w:fill="CCEEFF"/>
          </w:tcPr>
          <w:p>
            <w:pPr>
              <w:jc w:val="center"/>
              <w:ind w:right="4040"/>
              <w:spacing w:after="0" w:line="202" w:lineRule="exact"/>
              <w:rPr>
                <w:rFonts w:ascii="Times New Roman" w:cs="Times New Roman" w:eastAsia="Times New Roman" w:hAnsi="Times New Roman"/>
                <w:sz w:val="18"/>
                <w:szCs w:val="18"/>
                <w:b w:val="1"/>
                <w:bCs w:val="1"/>
                <w:color w:val="0000FF"/>
                <w:w w:val="95"/>
              </w:rPr>
            </w:pPr>
            <w:hyperlink w:anchor="page5">
              <w:r>
                <w:rPr>
                  <w:rFonts w:ascii="Times New Roman" w:cs="Times New Roman" w:eastAsia="Times New Roman" w:hAnsi="Times New Roman"/>
                  <w:sz w:val="18"/>
                  <w:szCs w:val="18"/>
                  <w:b w:val="1"/>
                  <w:bCs w:val="1"/>
                  <w:color w:val="0000FF"/>
                  <w:w w:val="95"/>
                </w:rPr>
                <w:t>PART I</w:t>
              </w:r>
            </w:hyperlink>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03"/>
        </w:trPr>
        <w:tc>
          <w:tcPr>
            <w:tcW w:w="1640" w:type="dxa"/>
            <w:vAlign w:val="bottom"/>
            <w:tcBorders>
              <w:top w:val="single" w:sz="8" w:color="CCEEFF"/>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3780" w:type="dxa"/>
            <w:vAlign w:val="bottom"/>
            <w:tcBorders>
              <w:top w:val="single" w:sz="8" w:color="CCEEFF"/>
            </w:tcBorders>
            <w:gridSpan w:val="17"/>
          </w:tcPr>
          <w:p>
            <w:pPr>
              <w:spacing w:after="0" w:line="202"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Business</w:t>
              </w:r>
            </w:hyperlink>
          </w:p>
        </w:tc>
        <w:tc>
          <w:tcPr>
            <w:tcW w:w="580" w:type="dxa"/>
            <w:vAlign w:val="bottom"/>
            <w:tcBorders>
              <w:top w:val="single" w:sz="8" w:color="0000FF"/>
            </w:tcBorders>
            <w:gridSpan w:val="2"/>
          </w:tcPr>
          <w:p>
            <w:pPr>
              <w:spacing w:after="0"/>
              <w:rPr>
                <w:sz w:val="17"/>
                <w:szCs w:val="17"/>
                <w:color w:val="auto"/>
              </w:rPr>
            </w:pPr>
          </w:p>
        </w:tc>
        <w:tc>
          <w:tcPr>
            <w:tcW w:w="4040" w:type="dxa"/>
            <w:vAlign w:val="bottom"/>
            <w:tcBorders>
              <w:top w:val="single" w:sz="8" w:color="CCEEFF"/>
            </w:tcBorders>
            <w:gridSpan w:val="8"/>
          </w:tcPr>
          <w:p>
            <w:pPr>
              <w:spacing w:after="0"/>
              <w:rPr>
                <w:sz w:val="17"/>
                <w:szCs w:val="17"/>
                <w:color w:val="auto"/>
              </w:rPr>
            </w:pPr>
          </w:p>
        </w:tc>
        <w:tc>
          <w:tcPr>
            <w:tcW w:w="1380" w:type="dxa"/>
            <w:vAlign w:val="bottom"/>
            <w:tcBorders>
              <w:top w:val="single" w:sz="8" w:color="CCEEFF"/>
            </w:tcBorders>
            <w:gridSpan w:val="5"/>
          </w:tcPr>
          <w:p>
            <w:pPr>
              <w:jc w:val="right"/>
              <w:ind w:right="20"/>
              <w:spacing w:after="0" w:line="202" w:lineRule="exact"/>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3</w:t>
              </w:r>
            </w:hyperlink>
          </w:p>
        </w:tc>
      </w:tr>
      <w:tr>
        <w:trPr>
          <w:trHeight w:val="48"/>
        </w:trPr>
        <w:tc>
          <w:tcPr>
            <w:tcW w:w="16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64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8400" w:type="dxa"/>
            <w:vAlign w:val="bottom"/>
            <w:gridSpan w:val="27"/>
            <w:shd w:val="clear" w:color="auto" w:fill="CCEEFF"/>
          </w:tcPr>
          <w:p>
            <w:pPr>
              <w:spacing w:after="0" w:line="202"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Risk Factors</w:t>
              </w:r>
            </w:hyperlink>
          </w:p>
        </w:tc>
        <w:tc>
          <w:tcPr>
            <w:tcW w:w="138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21">
              <w:r>
                <w:rPr>
                  <w:rFonts w:ascii="Times New Roman" w:cs="Times New Roman" w:eastAsia="Times New Roman" w:hAnsi="Times New Roman"/>
                  <w:sz w:val="18"/>
                  <w:szCs w:val="18"/>
                  <w:color w:val="0000FF"/>
                </w:rPr>
                <w:t>19</w:t>
              </w:r>
            </w:hyperlink>
          </w:p>
        </w:tc>
      </w:tr>
      <w:tr>
        <w:trPr>
          <w:trHeight w:val="48"/>
        </w:trPr>
        <w:tc>
          <w:tcPr>
            <w:tcW w:w="16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6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1B.</w:t>
            </w:r>
          </w:p>
        </w:tc>
        <w:tc>
          <w:tcPr>
            <w:tcW w:w="8400" w:type="dxa"/>
            <w:vAlign w:val="bottom"/>
            <w:gridSpan w:val="27"/>
          </w:tcPr>
          <w:p>
            <w:pPr>
              <w:spacing w:after="0" w:line="202"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Unresolved Staff Comments</w:t>
              </w:r>
            </w:hyperlink>
          </w:p>
        </w:tc>
        <w:tc>
          <w:tcPr>
            <w:tcW w:w="1380" w:type="dxa"/>
            <w:vAlign w:val="bottom"/>
            <w:gridSpan w:val="5"/>
          </w:tcPr>
          <w:p>
            <w:pPr>
              <w:jc w:val="right"/>
              <w:ind w:right="20"/>
              <w:spacing w:after="0" w:line="202" w:lineRule="exact"/>
              <w:rPr>
                <w:rFonts w:ascii="Times New Roman" w:cs="Times New Roman" w:eastAsia="Times New Roman" w:hAnsi="Times New Roman"/>
                <w:sz w:val="18"/>
                <w:szCs w:val="18"/>
                <w:color w:val="0000FF"/>
              </w:rPr>
            </w:pPr>
            <w:hyperlink w:anchor="page31">
              <w:r>
                <w:rPr>
                  <w:rFonts w:ascii="Times New Roman" w:cs="Times New Roman" w:eastAsia="Times New Roman" w:hAnsi="Times New Roman"/>
                  <w:sz w:val="18"/>
                  <w:szCs w:val="18"/>
                  <w:color w:val="0000FF"/>
                </w:rPr>
                <w:t>29</w:t>
              </w:r>
            </w:hyperlink>
          </w:p>
        </w:tc>
      </w:tr>
      <w:tr>
        <w:trPr>
          <w:trHeight w:val="48"/>
        </w:trPr>
        <w:tc>
          <w:tcPr>
            <w:tcW w:w="16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64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gridSpan w:val="3"/>
            <w:shd w:val="clear" w:color="auto" w:fill="CCEEFF"/>
          </w:tcPr>
          <w:p>
            <w:pPr>
              <w:spacing w:after="0" w:line="202" w:lineRule="exact"/>
              <w:rPr>
                <w:rFonts w:ascii="Times New Roman" w:cs="Times New Roman" w:eastAsia="Times New Roman" w:hAnsi="Times New Roman"/>
                <w:sz w:val="18"/>
                <w:szCs w:val="18"/>
                <w:color w:val="0000EE"/>
                <w:w w:val="98"/>
              </w:rPr>
            </w:pPr>
            <w:hyperlink w:anchor="page31">
              <w:r>
                <w:rPr>
                  <w:rFonts w:ascii="Times New Roman" w:cs="Times New Roman" w:eastAsia="Times New Roman" w:hAnsi="Times New Roman"/>
                  <w:sz w:val="18"/>
                  <w:szCs w:val="18"/>
                  <w:color w:val="0000EE"/>
                  <w:w w:val="98"/>
                </w:rPr>
                <w:t>Properties</w:t>
              </w:r>
            </w:hyperlink>
          </w:p>
        </w:tc>
        <w:tc>
          <w:tcPr>
            <w:tcW w:w="7660" w:type="dxa"/>
            <w:vAlign w:val="bottom"/>
            <w:gridSpan w:val="24"/>
            <w:shd w:val="clear" w:color="auto" w:fill="CCEEFF"/>
          </w:tcPr>
          <w:p>
            <w:pPr>
              <w:spacing w:after="0"/>
              <w:rPr>
                <w:sz w:val="17"/>
                <w:szCs w:val="17"/>
                <w:color w:val="auto"/>
              </w:rPr>
            </w:pPr>
          </w:p>
        </w:tc>
        <w:tc>
          <w:tcPr>
            <w:tcW w:w="138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31">
              <w:r>
                <w:rPr>
                  <w:rFonts w:ascii="Times New Roman" w:cs="Times New Roman" w:eastAsia="Times New Roman" w:hAnsi="Times New Roman"/>
                  <w:sz w:val="18"/>
                  <w:szCs w:val="18"/>
                  <w:color w:val="0000FF"/>
                </w:rPr>
                <w:t>29</w:t>
              </w:r>
            </w:hyperlink>
          </w:p>
        </w:tc>
      </w:tr>
      <w:tr>
        <w:trPr>
          <w:trHeight w:val="48"/>
        </w:trPr>
        <w:tc>
          <w:tcPr>
            <w:tcW w:w="16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6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8400" w:type="dxa"/>
            <w:vAlign w:val="bottom"/>
            <w:gridSpan w:val="27"/>
          </w:tcPr>
          <w:p>
            <w:pPr>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Legal Proceedings</w:t>
              </w:r>
            </w:hyperlink>
          </w:p>
        </w:tc>
        <w:tc>
          <w:tcPr>
            <w:tcW w:w="1380" w:type="dxa"/>
            <w:vAlign w:val="bottom"/>
            <w:gridSpan w:val="5"/>
          </w:tcPr>
          <w:p>
            <w:pPr>
              <w:jc w:val="right"/>
              <w:ind w:right="20"/>
              <w:spacing w:after="0" w:line="202" w:lineRule="exact"/>
              <w:rPr>
                <w:rFonts w:ascii="Times New Roman" w:cs="Times New Roman" w:eastAsia="Times New Roman" w:hAnsi="Times New Roman"/>
                <w:sz w:val="18"/>
                <w:szCs w:val="18"/>
                <w:color w:val="0000FF"/>
              </w:rPr>
            </w:pPr>
            <w:hyperlink w:anchor="page33">
              <w:r>
                <w:rPr>
                  <w:rFonts w:ascii="Times New Roman" w:cs="Times New Roman" w:eastAsia="Times New Roman" w:hAnsi="Times New Roman"/>
                  <w:sz w:val="18"/>
                  <w:szCs w:val="18"/>
                  <w:color w:val="0000FF"/>
                </w:rPr>
                <w:t>31</w:t>
              </w:r>
            </w:hyperlink>
          </w:p>
        </w:tc>
      </w:tr>
      <w:tr>
        <w:trPr>
          <w:trHeight w:val="48"/>
        </w:trPr>
        <w:tc>
          <w:tcPr>
            <w:tcW w:w="16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64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8400" w:type="dxa"/>
            <w:vAlign w:val="bottom"/>
            <w:gridSpan w:val="27"/>
            <w:shd w:val="clear" w:color="auto" w:fill="CCEEFF"/>
          </w:tcPr>
          <w:p>
            <w:pPr>
              <w:spacing w:after="0" w:line="202"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Mine Safety Disclosures</w:t>
              </w:r>
            </w:hyperlink>
          </w:p>
        </w:tc>
        <w:tc>
          <w:tcPr>
            <w:tcW w:w="138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34">
              <w:r>
                <w:rPr>
                  <w:rFonts w:ascii="Times New Roman" w:cs="Times New Roman" w:eastAsia="Times New Roman" w:hAnsi="Times New Roman"/>
                  <w:sz w:val="18"/>
                  <w:szCs w:val="18"/>
                  <w:color w:val="0000FF"/>
                </w:rPr>
                <w:t>32</w:t>
              </w:r>
            </w:hyperlink>
          </w:p>
        </w:tc>
      </w:tr>
      <w:tr>
        <w:trPr>
          <w:trHeight w:val="203"/>
        </w:trPr>
        <w:tc>
          <w:tcPr>
            <w:tcW w:w="1640" w:type="dxa"/>
            <w:vAlign w:val="bottom"/>
            <w:tcBorders>
              <w:top w:val="single" w:sz="8" w:color="CCEEFF"/>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4680" w:type="dxa"/>
            <w:vAlign w:val="bottom"/>
            <w:tcBorders>
              <w:top w:val="single" w:sz="8" w:color="CCEEFF"/>
            </w:tcBorders>
            <w:gridSpan w:val="12"/>
          </w:tcPr>
          <w:p>
            <w:pPr>
              <w:jc w:val="center"/>
              <w:ind w:right="3980"/>
              <w:spacing w:after="0" w:line="202" w:lineRule="exact"/>
              <w:rPr>
                <w:rFonts w:ascii="Times New Roman" w:cs="Times New Roman" w:eastAsia="Times New Roman" w:hAnsi="Times New Roman"/>
                <w:sz w:val="18"/>
                <w:szCs w:val="18"/>
                <w:b w:val="1"/>
                <w:bCs w:val="1"/>
                <w:color w:val="0000FF"/>
                <w:w w:val="97"/>
              </w:rPr>
            </w:pPr>
            <w:hyperlink w:anchor="page35">
              <w:r>
                <w:rPr>
                  <w:rFonts w:ascii="Times New Roman" w:cs="Times New Roman" w:eastAsia="Times New Roman" w:hAnsi="Times New Roman"/>
                  <w:sz w:val="18"/>
                  <w:szCs w:val="18"/>
                  <w:b w:val="1"/>
                  <w:bCs w:val="1"/>
                  <w:color w:val="0000FF"/>
                  <w:w w:val="97"/>
                </w:rPr>
                <w:t>PART II</w:t>
              </w:r>
            </w:hyperlink>
          </w:p>
        </w:tc>
        <w:tc>
          <w:tcPr>
            <w:tcW w:w="10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48"/>
        </w:trPr>
        <w:tc>
          <w:tcPr>
            <w:tcW w:w="16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640" w:type="dxa"/>
            <w:vAlign w:val="bottom"/>
            <w:shd w:val="clear" w:color="auto" w:fill="CCEEFF"/>
          </w:tcPr>
          <w:p>
            <w:pPr>
              <w:spacing w:after="0"/>
              <w:rPr>
                <w:sz w:val="17"/>
                <w:szCs w:val="17"/>
                <w:color w:val="auto"/>
              </w:rPr>
            </w:pPr>
          </w:p>
        </w:tc>
        <w:tc>
          <w:tcPr>
            <w:tcW w:w="8400" w:type="dxa"/>
            <w:vAlign w:val="bottom"/>
            <w:gridSpan w:val="27"/>
            <w:shd w:val="clear" w:color="auto" w:fill="CCEEFF"/>
          </w:tcPr>
          <w:p>
            <w:pPr>
              <w:spacing w:after="0" w:line="202"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Market for Registrant’s Common Equity, Related Stockholder Matters and Issuer Purchases of Equity</w:t>
              </w:r>
            </w:hyperlink>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96"/>
        </w:trPr>
        <w:tc>
          <w:tcPr>
            <w:tcW w:w="164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720" w:type="dxa"/>
            <w:vAlign w:val="bottom"/>
            <w:tcBorders>
              <w:top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8"/>
              </w:rPr>
            </w:pPr>
            <w:hyperlink w:anchor="page35">
              <w:r>
                <w:rPr>
                  <w:rFonts w:ascii="Times New Roman" w:cs="Times New Roman" w:eastAsia="Times New Roman" w:hAnsi="Times New Roman"/>
                  <w:sz w:val="18"/>
                  <w:szCs w:val="18"/>
                  <w:color w:val="0000EE"/>
                  <w:w w:val="98"/>
                </w:rPr>
                <w:t>Securities</w:t>
              </w:r>
            </w:hyperlink>
          </w:p>
        </w:tc>
        <w:tc>
          <w:tcPr>
            <w:tcW w:w="6600" w:type="dxa"/>
            <w:vAlign w:val="bottom"/>
            <w:tcBorders>
              <w:top w:val="single" w:sz="8" w:color="0000EE"/>
            </w:tcBorders>
            <w:gridSpan w:val="24"/>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gridSpan w:val="5"/>
            <w:shd w:val="clear" w:color="auto" w:fill="CCEEFF"/>
          </w:tcPr>
          <w:p>
            <w:pPr>
              <w:jc w:val="right"/>
              <w:ind w:right="20"/>
              <w:spacing w:after="0" w:line="196" w:lineRule="exact"/>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33</w:t>
              </w:r>
            </w:hyperlink>
          </w:p>
        </w:tc>
      </w:tr>
      <w:tr>
        <w:trPr>
          <w:trHeight w:val="48"/>
        </w:trPr>
        <w:tc>
          <w:tcPr>
            <w:tcW w:w="16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6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8400" w:type="dxa"/>
            <w:vAlign w:val="bottom"/>
            <w:gridSpan w:val="27"/>
          </w:tcPr>
          <w:p>
            <w:pPr>
              <w:spacing w:after="0" w:line="202"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Selected Financial Data</w:t>
              </w:r>
            </w:hyperlink>
          </w:p>
        </w:tc>
        <w:tc>
          <w:tcPr>
            <w:tcW w:w="1380" w:type="dxa"/>
            <w:vAlign w:val="bottom"/>
            <w:gridSpan w:val="5"/>
          </w:tcPr>
          <w:p>
            <w:pPr>
              <w:jc w:val="right"/>
              <w:ind w:right="20"/>
              <w:spacing w:after="0" w:line="202" w:lineRule="exact"/>
              <w:rPr>
                <w:rFonts w:ascii="Times New Roman" w:cs="Times New Roman" w:eastAsia="Times New Roman" w:hAnsi="Times New Roman"/>
                <w:sz w:val="18"/>
                <w:szCs w:val="18"/>
                <w:color w:val="0000FF"/>
              </w:rPr>
            </w:pPr>
            <w:hyperlink w:anchor="page36">
              <w:r>
                <w:rPr>
                  <w:rFonts w:ascii="Times New Roman" w:cs="Times New Roman" w:eastAsia="Times New Roman" w:hAnsi="Times New Roman"/>
                  <w:sz w:val="18"/>
                  <w:szCs w:val="18"/>
                  <w:color w:val="0000FF"/>
                </w:rPr>
                <w:t>34</w:t>
              </w:r>
            </w:hyperlink>
          </w:p>
        </w:tc>
      </w:tr>
      <w:tr>
        <w:trPr>
          <w:trHeight w:val="48"/>
        </w:trPr>
        <w:tc>
          <w:tcPr>
            <w:tcW w:w="16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64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7.</w:t>
            </w:r>
          </w:p>
        </w:tc>
        <w:tc>
          <w:tcPr>
            <w:tcW w:w="8400" w:type="dxa"/>
            <w:vAlign w:val="bottom"/>
            <w:gridSpan w:val="27"/>
            <w:shd w:val="clear" w:color="auto" w:fill="CCEEFF"/>
          </w:tcPr>
          <w:p>
            <w:pPr>
              <w:spacing w:after="0" w:line="202"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38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37</w:t>
              </w:r>
            </w:hyperlink>
          </w:p>
        </w:tc>
      </w:tr>
      <w:tr>
        <w:trPr>
          <w:trHeight w:val="48"/>
        </w:trPr>
        <w:tc>
          <w:tcPr>
            <w:tcW w:w="16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6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7A.</w:t>
            </w:r>
          </w:p>
        </w:tc>
        <w:tc>
          <w:tcPr>
            <w:tcW w:w="6460" w:type="dxa"/>
            <w:vAlign w:val="bottom"/>
            <w:gridSpan w:val="23"/>
          </w:tcPr>
          <w:p>
            <w:pPr>
              <w:spacing w:after="0" w:line="202"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Quantitative and Qualitative Disclosures About Market Risk</w:t>
              </w:r>
            </w:hyperlink>
          </w:p>
        </w:tc>
        <w:tc>
          <w:tcPr>
            <w:tcW w:w="1940" w:type="dxa"/>
            <w:vAlign w:val="bottom"/>
            <w:gridSpan w:val="4"/>
          </w:tcPr>
          <w:p>
            <w:pPr>
              <w:spacing w:after="0"/>
              <w:rPr>
                <w:sz w:val="17"/>
                <w:szCs w:val="17"/>
                <w:color w:val="auto"/>
              </w:rPr>
            </w:pPr>
          </w:p>
        </w:tc>
        <w:tc>
          <w:tcPr>
            <w:tcW w:w="1380" w:type="dxa"/>
            <w:vAlign w:val="bottom"/>
            <w:gridSpan w:val="5"/>
          </w:tcPr>
          <w:p>
            <w:pPr>
              <w:jc w:val="right"/>
              <w:ind w:right="20"/>
              <w:spacing w:after="0" w:line="202" w:lineRule="exact"/>
              <w:rPr>
                <w:rFonts w:ascii="Times New Roman" w:cs="Times New Roman" w:eastAsia="Times New Roman" w:hAnsi="Times New Roman"/>
                <w:sz w:val="18"/>
                <w:szCs w:val="18"/>
                <w:color w:val="0000FF"/>
              </w:rPr>
            </w:pPr>
            <w:hyperlink w:anchor="page60">
              <w:r>
                <w:rPr>
                  <w:rFonts w:ascii="Times New Roman" w:cs="Times New Roman" w:eastAsia="Times New Roman" w:hAnsi="Times New Roman"/>
                  <w:sz w:val="18"/>
                  <w:szCs w:val="18"/>
                  <w:color w:val="0000FF"/>
                </w:rPr>
                <w:t>58</w:t>
              </w:r>
            </w:hyperlink>
          </w:p>
        </w:tc>
      </w:tr>
      <w:tr>
        <w:trPr>
          <w:trHeight w:val="48"/>
        </w:trPr>
        <w:tc>
          <w:tcPr>
            <w:tcW w:w="16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64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gridSpan w:val="14"/>
            <w:shd w:val="clear" w:color="auto" w:fill="CCEEFF"/>
          </w:tcPr>
          <w:p>
            <w:pPr>
              <w:spacing w:after="0" w:line="202" w:lineRule="exact"/>
              <w:rPr>
                <w:rFonts w:ascii="Times New Roman" w:cs="Times New Roman" w:eastAsia="Times New Roman" w:hAnsi="Times New Roman"/>
                <w:sz w:val="18"/>
                <w:szCs w:val="18"/>
                <w:color w:val="0000EE"/>
                <w:w w:val="99"/>
              </w:rPr>
            </w:pPr>
            <w:hyperlink w:anchor="page62">
              <w:r>
                <w:rPr>
                  <w:rFonts w:ascii="Times New Roman" w:cs="Times New Roman" w:eastAsia="Times New Roman" w:hAnsi="Times New Roman"/>
                  <w:sz w:val="18"/>
                  <w:szCs w:val="18"/>
                  <w:color w:val="0000EE"/>
                  <w:w w:val="99"/>
                </w:rPr>
                <w:t>Financial Statements and Supplementary Data</w:t>
              </w:r>
            </w:hyperlink>
          </w:p>
        </w:tc>
        <w:tc>
          <w:tcPr>
            <w:tcW w:w="5060" w:type="dxa"/>
            <w:vAlign w:val="bottom"/>
            <w:gridSpan w:val="13"/>
            <w:shd w:val="clear" w:color="auto" w:fill="CCEEFF"/>
          </w:tcPr>
          <w:p>
            <w:pPr>
              <w:spacing w:after="0"/>
              <w:rPr>
                <w:sz w:val="17"/>
                <w:szCs w:val="17"/>
                <w:color w:val="auto"/>
              </w:rPr>
            </w:pPr>
          </w:p>
        </w:tc>
        <w:tc>
          <w:tcPr>
            <w:tcW w:w="138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62">
              <w:r>
                <w:rPr>
                  <w:rFonts w:ascii="Times New Roman" w:cs="Times New Roman" w:eastAsia="Times New Roman" w:hAnsi="Times New Roman"/>
                  <w:sz w:val="18"/>
                  <w:szCs w:val="18"/>
                  <w:color w:val="0000FF"/>
                </w:rPr>
                <w:t>60</w:t>
              </w:r>
            </w:hyperlink>
          </w:p>
        </w:tc>
      </w:tr>
      <w:tr>
        <w:trPr>
          <w:trHeight w:val="48"/>
        </w:trPr>
        <w:tc>
          <w:tcPr>
            <w:tcW w:w="16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6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9.</w:t>
            </w:r>
          </w:p>
        </w:tc>
        <w:tc>
          <w:tcPr>
            <w:tcW w:w="8400" w:type="dxa"/>
            <w:vAlign w:val="bottom"/>
            <w:gridSpan w:val="27"/>
          </w:tcPr>
          <w:p>
            <w:pPr>
              <w:spacing w:after="0" w:line="202" w:lineRule="exact"/>
              <w:rPr>
                <w:rFonts w:ascii="Times New Roman" w:cs="Times New Roman" w:eastAsia="Times New Roman" w:hAnsi="Times New Roman"/>
                <w:sz w:val="18"/>
                <w:szCs w:val="18"/>
                <w:color w:val="0000EE"/>
              </w:rPr>
            </w:pPr>
            <w:hyperlink w:anchor="page98">
              <w:r>
                <w:rPr>
                  <w:rFonts w:ascii="Times New Roman" w:cs="Times New Roman" w:eastAsia="Times New Roman" w:hAnsi="Times New Roman"/>
                  <w:sz w:val="18"/>
                  <w:szCs w:val="18"/>
                  <w:color w:val="0000EE"/>
                </w:rPr>
                <w:t>Changes in and Disagreements With Accountants on Accounting and Financial Disclosure</w:t>
              </w:r>
            </w:hyperlink>
          </w:p>
        </w:tc>
        <w:tc>
          <w:tcPr>
            <w:tcW w:w="1380" w:type="dxa"/>
            <w:vAlign w:val="bottom"/>
            <w:gridSpan w:val="5"/>
          </w:tcPr>
          <w:p>
            <w:pPr>
              <w:jc w:val="right"/>
              <w:ind w:right="20"/>
              <w:spacing w:after="0" w:line="202" w:lineRule="exact"/>
              <w:rPr>
                <w:rFonts w:ascii="Times New Roman" w:cs="Times New Roman" w:eastAsia="Times New Roman" w:hAnsi="Times New Roman"/>
                <w:sz w:val="18"/>
                <w:szCs w:val="18"/>
                <w:color w:val="0000FF"/>
              </w:rPr>
            </w:pPr>
            <w:hyperlink w:anchor="page98">
              <w:r>
                <w:rPr>
                  <w:rFonts w:ascii="Times New Roman" w:cs="Times New Roman" w:eastAsia="Times New Roman" w:hAnsi="Times New Roman"/>
                  <w:sz w:val="18"/>
                  <w:szCs w:val="18"/>
                  <w:color w:val="0000FF"/>
                </w:rPr>
                <w:t>96</w:t>
              </w:r>
            </w:hyperlink>
          </w:p>
        </w:tc>
      </w:tr>
      <w:tr>
        <w:trPr>
          <w:trHeight w:val="48"/>
        </w:trPr>
        <w:tc>
          <w:tcPr>
            <w:tcW w:w="16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64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gridSpan w:val="9"/>
            <w:shd w:val="clear" w:color="auto" w:fill="CCEEFF"/>
          </w:tcPr>
          <w:p>
            <w:pPr>
              <w:spacing w:after="0" w:line="202" w:lineRule="exact"/>
              <w:rPr>
                <w:rFonts w:ascii="Times New Roman" w:cs="Times New Roman" w:eastAsia="Times New Roman" w:hAnsi="Times New Roman"/>
                <w:sz w:val="18"/>
                <w:szCs w:val="18"/>
                <w:color w:val="0000EE"/>
                <w:w w:val="99"/>
              </w:rPr>
            </w:pPr>
            <w:hyperlink w:anchor="page98">
              <w:r>
                <w:rPr>
                  <w:rFonts w:ascii="Times New Roman" w:cs="Times New Roman" w:eastAsia="Times New Roman" w:hAnsi="Times New Roman"/>
                  <w:sz w:val="18"/>
                  <w:szCs w:val="18"/>
                  <w:color w:val="0000EE"/>
                  <w:w w:val="99"/>
                </w:rPr>
                <w:t>Controls and Procedures</w:t>
              </w:r>
            </w:hyperlink>
          </w:p>
        </w:tc>
        <w:tc>
          <w:tcPr>
            <w:tcW w:w="6620" w:type="dxa"/>
            <w:vAlign w:val="bottom"/>
            <w:gridSpan w:val="18"/>
            <w:shd w:val="clear" w:color="auto" w:fill="CCEEFF"/>
          </w:tcPr>
          <w:p>
            <w:pPr>
              <w:spacing w:after="0"/>
              <w:rPr>
                <w:sz w:val="17"/>
                <w:szCs w:val="17"/>
                <w:color w:val="auto"/>
              </w:rPr>
            </w:pPr>
          </w:p>
        </w:tc>
        <w:tc>
          <w:tcPr>
            <w:tcW w:w="138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98">
              <w:r>
                <w:rPr>
                  <w:rFonts w:ascii="Times New Roman" w:cs="Times New Roman" w:eastAsia="Times New Roman" w:hAnsi="Times New Roman"/>
                  <w:sz w:val="18"/>
                  <w:szCs w:val="18"/>
                  <w:color w:val="0000FF"/>
                </w:rPr>
                <w:t>96</w:t>
              </w:r>
            </w:hyperlink>
          </w:p>
        </w:tc>
      </w:tr>
      <w:tr>
        <w:trPr>
          <w:trHeight w:val="48"/>
        </w:trPr>
        <w:tc>
          <w:tcPr>
            <w:tcW w:w="16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6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9B.</w:t>
            </w:r>
          </w:p>
        </w:tc>
        <w:tc>
          <w:tcPr>
            <w:tcW w:w="1780" w:type="dxa"/>
            <w:vAlign w:val="bottom"/>
            <w:gridSpan w:val="9"/>
          </w:tcPr>
          <w:p>
            <w:pPr>
              <w:spacing w:after="0" w:line="202" w:lineRule="exact"/>
              <w:rPr>
                <w:rFonts w:ascii="Times New Roman" w:cs="Times New Roman" w:eastAsia="Times New Roman" w:hAnsi="Times New Roman"/>
                <w:sz w:val="18"/>
                <w:szCs w:val="18"/>
                <w:color w:val="0000EE"/>
              </w:rPr>
            </w:pPr>
            <w:hyperlink w:anchor="page99">
              <w:r>
                <w:rPr>
                  <w:rFonts w:ascii="Times New Roman" w:cs="Times New Roman" w:eastAsia="Times New Roman" w:hAnsi="Times New Roman"/>
                  <w:sz w:val="18"/>
                  <w:szCs w:val="18"/>
                  <w:color w:val="0000EE"/>
                </w:rPr>
                <w:t>Other Information</w:t>
              </w:r>
            </w:hyperlink>
          </w:p>
        </w:tc>
        <w:tc>
          <w:tcPr>
            <w:tcW w:w="6620" w:type="dxa"/>
            <w:vAlign w:val="bottom"/>
            <w:gridSpan w:val="18"/>
          </w:tcPr>
          <w:p>
            <w:pPr>
              <w:spacing w:after="0"/>
              <w:rPr>
                <w:sz w:val="17"/>
                <w:szCs w:val="17"/>
                <w:color w:val="auto"/>
              </w:rPr>
            </w:pPr>
          </w:p>
        </w:tc>
        <w:tc>
          <w:tcPr>
            <w:tcW w:w="1380" w:type="dxa"/>
            <w:vAlign w:val="bottom"/>
            <w:gridSpan w:val="5"/>
          </w:tcPr>
          <w:p>
            <w:pPr>
              <w:jc w:val="right"/>
              <w:ind w:right="20"/>
              <w:spacing w:after="0" w:line="202" w:lineRule="exact"/>
              <w:rPr>
                <w:rFonts w:ascii="Times New Roman" w:cs="Times New Roman" w:eastAsia="Times New Roman" w:hAnsi="Times New Roman"/>
                <w:sz w:val="18"/>
                <w:szCs w:val="18"/>
                <w:color w:val="0000FF"/>
              </w:rPr>
            </w:pPr>
            <w:hyperlink w:anchor="page99">
              <w:r>
                <w:rPr>
                  <w:rFonts w:ascii="Times New Roman" w:cs="Times New Roman" w:eastAsia="Times New Roman" w:hAnsi="Times New Roman"/>
                  <w:sz w:val="18"/>
                  <w:szCs w:val="18"/>
                  <w:color w:val="0000FF"/>
                </w:rPr>
                <w:t>97</w:t>
              </w:r>
            </w:hyperlink>
          </w:p>
        </w:tc>
      </w:tr>
      <w:tr>
        <w:trPr>
          <w:trHeight w:val="48"/>
        </w:trPr>
        <w:tc>
          <w:tcPr>
            <w:tcW w:w="16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60" w:type="dxa"/>
            <w:vAlign w:val="bottom"/>
            <w:gridSpan w:val="13"/>
            <w:shd w:val="clear" w:color="auto" w:fill="CCEEFF"/>
          </w:tcPr>
          <w:p>
            <w:pPr>
              <w:jc w:val="center"/>
              <w:ind w:right="3580"/>
              <w:spacing w:after="0" w:line="202" w:lineRule="exact"/>
              <w:rPr>
                <w:rFonts w:ascii="Times New Roman" w:cs="Times New Roman" w:eastAsia="Times New Roman" w:hAnsi="Times New Roman"/>
                <w:sz w:val="18"/>
                <w:szCs w:val="18"/>
                <w:b w:val="1"/>
                <w:bCs w:val="1"/>
                <w:color w:val="0000FF"/>
                <w:w w:val="96"/>
              </w:rPr>
            </w:pPr>
            <w:hyperlink w:anchor="page99">
              <w:r>
                <w:rPr>
                  <w:rFonts w:ascii="Times New Roman" w:cs="Times New Roman" w:eastAsia="Times New Roman" w:hAnsi="Times New Roman"/>
                  <w:sz w:val="18"/>
                  <w:szCs w:val="18"/>
                  <w:b w:val="1"/>
                  <w:bCs w:val="1"/>
                  <w:color w:val="0000FF"/>
                  <w:w w:val="96"/>
                </w:rPr>
                <w:t>PART III</w:t>
              </w:r>
            </w:hyperlink>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16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6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10.</w:t>
            </w:r>
          </w:p>
        </w:tc>
        <w:tc>
          <w:tcPr>
            <w:tcW w:w="8400" w:type="dxa"/>
            <w:vAlign w:val="bottom"/>
            <w:gridSpan w:val="27"/>
          </w:tcPr>
          <w:p>
            <w:pPr>
              <w:spacing w:after="0" w:line="202" w:lineRule="exact"/>
              <w:rPr>
                <w:rFonts w:ascii="Times New Roman" w:cs="Times New Roman" w:eastAsia="Times New Roman" w:hAnsi="Times New Roman"/>
                <w:sz w:val="18"/>
                <w:szCs w:val="18"/>
                <w:color w:val="0000EE"/>
              </w:rPr>
            </w:pPr>
            <w:hyperlink w:anchor="page99">
              <w:r>
                <w:rPr>
                  <w:rFonts w:ascii="Times New Roman" w:cs="Times New Roman" w:eastAsia="Times New Roman" w:hAnsi="Times New Roman"/>
                  <w:sz w:val="18"/>
                  <w:szCs w:val="18"/>
                  <w:color w:val="0000EE"/>
                </w:rPr>
                <w:t>Directors, Executive Officers and Corporate Governance</w:t>
              </w:r>
            </w:hyperlink>
          </w:p>
        </w:tc>
        <w:tc>
          <w:tcPr>
            <w:tcW w:w="1380" w:type="dxa"/>
            <w:vAlign w:val="bottom"/>
            <w:gridSpan w:val="5"/>
          </w:tcPr>
          <w:p>
            <w:pPr>
              <w:jc w:val="right"/>
              <w:ind w:right="20"/>
              <w:spacing w:after="0" w:line="202" w:lineRule="exact"/>
              <w:rPr>
                <w:rFonts w:ascii="Times New Roman" w:cs="Times New Roman" w:eastAsia="Times New Roman" w:hAnsi="Times New Roman"/>
                <w:sz w:val="18"/>
                <w:szCs w:val="18"/>
                <w:color w:val="0000FF"/>
              </w:rPr>
            </w:pPr>
            <w:hyperlink w:anchor="page99">
              <w:r>
                <w:rPr>
                  <w:rFonts w:ascii="Times New Roman" w:cs="Times New Roman" w:eastAsia="Times New Roman" w:hAnsi="Times New Roman"/>
                  <w:sz w:val="18"/>
                  <w:szCs w:val="18"/>
                  <w:color w:val="0000FF"/>
                </w:rPr>
                <w:t>97</w:t>
              </w:r>
            </w:hyperlink>
          </w:p>
        </w:tc>
      </w:tr>
      <w:tr>
        <w:trPr>
          <w:trHeight w:val="48"/>
        </w:trPr>
        <w:tc>
          <w:tcPr>
            <w:tcW w:w="16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64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11.</w:t>
            </w:r>
          </w:p>
        </w:tc>
        <w:tc>
          <w:tcPr>
            <w:tcW w:w="8400" w:type="dxa"/>
            <w:vAlign w:val="bottom"/>
            <w:gridSpan w:val="27"/>
            <w:shd w:val="clear" w:color="auto" w:fill="CCEEFF"/>
          </w:tcPr>
          <w:p>
            <w:pPr>
              <w:spacing w:after="0" w:line="202" w:lineRule="exact"/>
              <w:rPr>
                <w:rFonts w:ascii="Times New Roman" w:cs="Times New Roman" w:eastAsia="Times New Roman" w:hAnsi="Times New Roman"/>
                <w:sz w:val="18"/>
                <w:szCs w:val="18"/>
                <w:color w:val="0000EE"/>
              </w:rPr>
            </w:pPr>
            <w:hyperlink w:anchor="page99">
              <w:r>
                <w:rPr>
                  <w:rFonts w:ascii="Times New Roman" w:cs="Times New Roman" w:eastAsia="Times New Roman" w:hAnsi="Times New Roman"/>
                  <w:sz w:val="18"/>
                  <w:szCs w:val="18"/>
                  <w:color w:val="0000EE"/>
                </w:rPr>
                <w:t>Executive Compensation</w:t>
              </w:r>
            </w:hyperlink>
          </w:p>
        </w:tc>
        <w:tc>
          <w:tcPr>
            <w:tcW w:w="138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99">
              <w:r>
                <w:rPr>
                  <w:rFonts w:ascii="Times New Roman" w:cs="Times New Roman" w:eastAsia="Times New Roman" w:hAnsi="Times New Roman"/>
                  <w:sz w:val="18"/>
                  <w:szCs w:val="18"/>
                  <w:color w:val="0000FF"/>
                </w:rPr>
                <w:t>97</w:t>
              </w:r>
            </w:hyperlink>
          </w:p>
        </w:tc>
      </w:tr>
      <w:tr>
        <w:trPr>
          <w:trHeight w:val="48"/>
        </w:trPr>
        <w:tc>
          <w:tcPr>
            <w:tcW w:w="16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6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12.</w:t>
            </w:r>
          </w:p>
        </w:tc>
        <w:tc>
          <w:tcPr>
            <w:tcW w:w="8400" w:type="dxa"/>
            <w:vAlign w:val="bottom"/>
            <w:gridSpan w:val="27"/>
          </w:tcPr>
          <w:p>
            <w:pPr>
              <w:spacing w:after="0" w:line="202" w:lineRule="exact"/>
              <w:rPr>
                <w:rFonts w:ascii="Times New Roman" w:cs="Times New Roman" w:eastAsia="Times New Roman" w:hAnsi="Times New Roman"/>
                <w:sz w:val="18"/>
                <w:szCs w:val="18"/>
                <w:color w:val="0000EE"/>
              </w:rPr>
            </w:pPr>
            <w:hyperlink w:anchor="page99">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1380" w:type="dxa"/>
            <w:vAlign w:val="bottom"/>
            <w:gridSpan w:val="5"/>
          </w:tcPr>
          <w:p>
            <w:pPr>
              <w:jc w:val="right"/>
              <w:ind w:right="20"/>
              <w:spacing w:after="0" w:line="202" w:lineRule="exact"/>
              <w:rPr>
                <w:rFonts w:ascii="Times New Roman" w:cs="Times New Roman" w:eastAsia="Times New Roman" w:hAnsi="Times New Roman"/>
                <w:sz w:val="18"/>
                <w:szCs w:val="18"/>
                <w:color w:val="0000FF"/>
              </w:rPr>
            </w:pPr>
            <w:hyperlink w:anchor="page99">
              <w:r>
                <w:rPr>
                  <w:rFonts w:ascii="Times New Roman" w:cs="Times New Roman" w:eastAsia="Times New Roman" w:hAnsi="Times New Roman"/>
                  <w:sz w:val="18"/>
                  <w:szCs w:val="18"/>
                  <w:color w:val="0000FF"/>
                </w:rPr>
                <w:t>97</w:t>
              </w:r>
            </w:hyperlink>
          </w:p>
        </w:tc>
      </w:tr>
      <w:tr>
        <w:trPr>
          <w:trHeight w:val="48"/>
        </w:trPr>
        <w:tc>
          <w:tcPr>
            <w:tcW w:w="16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64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gridSpan w:val="22"/>
            <w:shd w:val="clear" w:color="auto" w:fill="CCEEFF"/>
          </w:tcPr>
          <w:p>
            <w:pPr>
              <w:spacing w:after="0" w:line="202" w:lineRule="exact"/>
              <w:rPr>
                <w:rFonts w:ascii="Times New Roman" w:cs="Times New Roman" w:eastAsia="Times New Roman" w:hAnsi="Times New Roman"/>
                <w:sz w:val="18"/>
                <w:szCs w:val="18"/>
                <w:color w:val="0000EE"/>
                <w:w w:val="99"/>
              </w:rPr>
            </w:pPr>
            <w:hyperlink w:anchor="page99">
              <w:r>
                <w:rPr>
                  <w:rFonts w:ascii="Times New Roman" w:cs="Times New Roman" w:eastAsia="Times New Roman" w:hAnsi="Times New Roman"/>
                  <w:sz w:val="18"/>
                  <w:szCs w:val="18"/>
                  <w:color w:val="0000EE"/>
                  <w:w w:val="99"/>
                </w:rPr>
                <w:t>Certain Relationships and Related Transactions, and Director Independence</w:t>
              </w:r>
            </w:hyperlink>
          </w:p>
        </w:tc>
        <w:tc>
          <w:tcPr>
            <w:tcW w:w="2940" w:type="dxa"/>
            <w:vAlign w:val="bottom"/>
            <w:gridSpan w:val="5"/>
            <w:shd w:val="clear" w:color="auto" w:fill="CCEEFF"/>
          </w:tcPr>
          <w:p>
            <w:pPr>
              <w:spacing w:after="0"/>
              <w:rPr>
                <w:sz w:val="17"/>
                <w:szCs w:val="17"/>
                <w:color w:val="auto"/>
              </w:rPr>
            </w:pPr>
          </w:p>
        </w:tc>
        <w:tc>
          <w:tcPr>
            <w:tcW w:w="138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99">
              <w:r>
                <w:rPr>
                  <w:rFonts w:ascii="Times New Roman" w:cs="Times New Roman" w:eastAsia="Times New Roman" w:hAnsi="Times New Roman"/>
                  <w:sz w:val="18"/>
                  <w:szCs w:val="18"/>
                  <w:color w:val="0000FF"/>
                </w:rPr>
                <w:t>97</w:t>
              </w:r>
            </w:hyperlink>
          </w:p>
        </w:tc>
      </w:tr>
      <w:tr>
        <w:trPr>
          <w:trHeight w:val="48"/>
        </w:trPr>
        <w:tc>
          <w:tcPr>
            <w:tcW w:w="16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6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14.</w:t>
            </w:r>
          </w:p>
        </w:tc>
        <w:tc>
          <w:tcPr>
            <w:tcW w:w="5460" w:type="dxa"/>
            <w:vAlign w:val="bottom"/>
            <w:gridSpan w:val="22"/>
          </w:tcPr>
          <w:p>
            <w:pPr>
              <w:spacing w:after="0" w:line="202" w:lineRule="exact"/>
              <w:rPr>
                <w:rFonts w:ascii="Times New Roman" w:cs="Times New Roman" w:eastAsia="Times New Roman" w:hAnsi="Times New Roman"/>
                <w:sz w:val="18"/>
                <w:szCs w:val="18"/>
                <w:color w:val="0000EE"/>
              </w:rPr>
            </w:pPr>
            <w:hyperlink w:anchor="page99">
              <w:r>
                <w:rPr>
                  <w:rFonts w:ascii="Times New Roman" w:cs="Times New Roman" w:eastAsia="Times New Roman" w:hAnsi="Times New Roman"/>
                  <w:sz w:val="18"/>
                  <w:szCs w:val="18"/>
                  <w:color w:val="0000EE"/>
                </w:rPr>
                <w:t>Principal Accounting Fees and Services</w:t>
              </w:r>
            </w:hyperlink>
          </w:p>
        </w:tc>
        <w:tc>
          <w:tcPr>
            <w:tcW w:w="2940" w:type="dxa"/>
            <w:vAlign w:val="bottom"/>
            <w:gridSpan w:val="5"/>
          </w:tcPr>
          <w:p>
            <w:pPr>
              <w:spacing w:after="0"/>
              <w:rPr>
                <w:sz w:val="17"/>
                <w:szCs w:val="17"/>
                <w:color w:val="auto"/>
              </w:rPr>
            </w:pPr>
          </w:p>
        </w:tc>
        <w:tc>
          <w:tcPr>
            <w:tcW w:w="1380" w:type="dxa"/>
            <w:vAlign w:val="bottom"/>
            <w:gridSpan w:val="5"/>
          </w:tcPr>
          <w:p>
            <w:pPr>
              <w:jc w:val="right"/>
              <w:ind w:right="20"/>
              <w:spacing w:after="0" w:line="202" w:lineRule="exact"/>
              <w:rPr>
                <w:rFonts w:ascii="Times New Roman" w:cs="Times New Roman" w:eastAsia="Times New Roman" w:hAnsi="Times New Roman"/>
                <w:sz w:val="18"/>
                <w:szCs w:val="18"/>
                <w:color w:val="0000FF"/>
              </w:rPr>
            </w:pPr>
            <w:hyperlink w:anchor="page99">
              <w:r>
                <w:rPr>
                  <w:rFonts w:ascii="Times New Roman" w:cs="Times New Roman" w:eastAsia="Times New Roman" w:hAnsi="Times New Roman"/>
                  <w:sz w:val="18"/>
                  <w:szCs w:val="18"/>
                  <w:color w:val="0000FF"/>
                </w:rPr>
                <w:t>97</w:t>
              </w:r>
            </w:hyperlink>
          </w:p>
        </w:tc>
      </w:tr>
      <w:tr>
        <w:trPr>
          <w:trHeight w:val="48"/>
        </w:trPr>
        <w:tc>
          <w:tcPr>
            <w:tcW w:w="16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6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0000FF"/>
            </w:tcBorders>
            <w:gridSpan w:val="6"/>
            <w:shd w:val="clear" w:color="auto" w:fill="CCEEFF"/>
          </w:tcPr>
          <w:p>
            <w:pPr>
              <w:jc w:val="center"/>
              <w:spacing w:after="0" w:line="202" w:lineRule="exact"/>
              <w:rPr>
                <w:rFonts w:ascii="Times New Roman" w:cs="Times New Roman" w:eastAsia="Times New Roman" w:hAnsi="Times New Roman"/>
                <w:sz w:val="18"/>
                <w:szCs w:val="18"/>
                <w:b w:val="1"/>
                <w:bCs w:val="1"/>
                <w:color w:val="0000FF"/>
                <w:w w:val="97"/>
              </w:rPr>
            </w:pPr>
            <w:hyperlink w:anchor="page100">
              <w:r>
                <w:rPr>
                  <w:rFonts w:ascii="Times New Roman" w:cs="Times New Roman" w:eastAsia="Times New Roman" w:hAnsi="Times New Roman"/>
                  <w:sz w:val="18"/>
                  <w:szCs w:val="18"/>
                  <w:b w:val="1"/>
                  <w:bCs w:val="1"/>
                  <w:color w:val="0000FF"/>
                  <w:w w:val="97"/>
                </w:rPr>
                <w:t>PART IV</w:t>
              </w:r>
            </w:hyperlink>
          </w:p>
        </w:tc>
        <w:tc>
          <w:tcPr>
            <w:tcW w:w="3960" w:type="dxa"/>
            <w:vAlign w:val="bottom"/>
            <w:tcBorders>
              <w:bottom w:val="single" w:sz="8" w:color="CCEEFF"/>
            </w:tcBorders>
            <w:gridSpan w:val="6"/>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6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15.</w:t>
            </w:r>
          </w:p>
        </w:tc>
        <w:tc>
          <w:tcPr>
            <w:tcW w:w="8400" w:type="dxa"/>
            <w:vAlign w:val="bottom"/>
            <w:gridSpan w:val="27"/>
          </w:tcPr>
          <w:p>
            <w:pPr>
              <w:spacing w:after="0" w:line="202" w:lineRule="exact"/>
              <w:rPr>
                <w:rFonts w:ascii="Times New Roman" w:cs="Times New Roman" w:eastAsia="Times New Roman" w:hAnsi="Times New Roman"/>
                <w:sz w:val="18"/>
                <w:szCs w:val="18"/>
                <w:color w:val="0000EE"/>
              </w:rPr>
            </w:pPr>
            <w:hyperlink w:anchor="page100">
              <w:r>
                <w:rPr>
                  <w:rFonts w:ascii="Times New Roman" w:cs="Times New Roman" w:eastAsia="Times New Roman" w:hAnsi="Times New Roman"/>
                  <w:sz w:val="18"/>
                  <w:szCs w:val="18"/>
                  <w:color w:val="0000EE"/>
                </w:rPr>
                <w:t>Exhibits, Financial Statement Schedules</w:t>
              </w:r>
            </w:hyperlink>
          </w:p>
        </w:tc>
        <w:tc>
          <w:tcPr>
            <w:tcW w:w="1380" w:type="dxa"/>
            <w:vAlign w:val="bottom"/>
            <w:gridSpan w:val="5"/>
          </w:tcPr>
          <w:p>
            <w:pPr>
              <w:jc w:val="right"/>
              <w:ind w:right="20"/>
              <w:spacing w:after="0" w:line="202" w:lineRule="exact"/>
              <w:rPr>
                <w:rFonts w:ascii="Times New Roman" w:cs="Times New Roman" w:eastAsia="Times New Roman" w:hAnsi="Times New Roman"/>
                <w:sz w:val="18"/>
                <w:szCs w:val="18"/>
                <w:color w:val="0000FF"/>
              </w:rPr>
            </w:pPr>
            <w:hyperlink w:anchor="page100">
              <w:r>
                <w:rPr>
                  <w:rFonts w:ascii="Times New Roman" w:cs="Times New Roman" w:eastAsia="Times New Roman" w:hAnsi="Times New Roman"/>
                  <w:sz w:val="18"/>
                  <w:szCs w:val="18"/>
                  <w:color w:val="0000FF"/>
                </w:rPr>
                <w:t>98</w:t>
              </w:r>
            </w:hyperlink>
          </w:p>
        </w:tc>
      </w:tr>
      <w:tr>
        <w:trPr>
          <w:trHeight w:val="48"/>
        </w:trPr>
        <w:tc>
          <w:tcPr>
            <w:tcW w:w="16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64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bottom w:val="single" w:sz="8" w:color="0000EE"/>
            </w:tcBorders>
            <w:gridSpan w:val="7"/>
            <w:shd w:val="clear" w:color="auto" w:fill="CCEEFF"/>
          </w:tcPr>
          <w:p>
            <w:pPr>
              <w:spacing w:after="0" w:line="202" w:lineRule="exact"/>
              <w:rPr>
                <w:rFonts w:ascii="Times New Roman" w:cs="Times New Roman" w:eastAsia="Times New Roman" w:hAnsi="Times New Roman"/>
                <w:sz w:val="18"/>
                <w:szCs w:val="18"/>
                <w:color w:val="0000EE"/>
                <w:w w:val="99"/>
              </w:rPr>
            </w:pPr>
            <w:hyperlink w:anchor="page103">
              <w:r>
                <w:rPr>
                  <w:rFonts w:ascii="Times New Roman" w:cs="Times New Roman" w:eastAsia="Times New Roman" w:hAnsi="Times New Roman"/>
                  <w:sz w:val="18"/>
                  <w:szCs w:val="18"/>
                  <w:color w:val="0000EE"/>
                  <w:w w:val="99"/>
                </w:rPr>
                <w:t>Form 10-K Summary</w:t>
              </w:r>
            </w:hyperlink>
          </w:p>
        </w:tc>
        <w:tc>
          <w:tcPr>
            <w:tcW w:w="6840" w:type="dxa"/>
            <w:vAlign w:val="bottom"/>
            <w:tcBorders>
              <w:bottom w:val="single" w:sz="8" w:color="CCEEFF"/>
            </w:tcBorders>
            <w:gridSpan w:val="20"/>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3"/>
            <w:shd w:val="clear" w:color="auto" w:fill="CCEEFF"/>
          </w:tcPr>
          <w:p>
            <w:pPr>
              <w:jc w:val="right"/>
              <w:spacing w:after="0" w:line="202" w:lineRule="exact"/>
              <w:rPr>
                <w:rFonts w:ascii="Times New Roman" w:cs="Times New Roman" w:eastAsia="Times New Roman" w:hAnsi="Times New Roman"/>
                <w:sz w:val="18"/>
                <w:szCs w:val="18"/>
                <w:color w:val="0000EE"/>
                <w:w w:val="96"/>
              </w:rPr>
            </w:pPr>
            <w:hyperlink w:anchor="page103">
              <w:r>
                <w:rPr>
                  <w:rFonts w:ascii="Times New Roman" w:cs="Times New Roman" w:eastAsia="Times New Roman" w:hAnsi="Times New Roman"/>
                  <w:sz w:val="18"/>
                  <w:szCs w:val="18"/>
                  <w:color w:val="0000EE"/>
                  <w:w w:val="96"/>
                </w:rPr>
                <w:t>101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459"/>
        </w:trPr>
        <w:tc>
          <w:tcPr>
            <w:tcW w:w="1640" w:type="dxa"/>
            <w:vAlign w:val="bottom"/>
          </w:tcPr>
          <w:p>
            <w:pPr>
              <w:spacing w:after="0"/>
              <w:rPr>
                <w:sz w:val="24"/>
                <w:szCs w:val="24"/>
                <w:color w:val="auto"/>
              </w:rPr>
            </w:pPr>
          </w:p>
        </w:tc>
        <w:tc>
          <w:tcPr>
            <w:tcW w:w="4360" w:type="dxa"/>
            <w:vAlign w:val="bottom"/>
            <w:gridSpan w:val="19"/>
          </w:tcPr>
          <w:p>
            <w:pPr>
              <w:jc w:val="center"/>
              <w:ind w:left="369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25"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for any historical information contained herein, the matters discussed or incorporated by reference in this Annual Report on Form 10-K (this “Form 10-K”) contain certain forward-looking statements within the meaning of the federal securities laws. These statements relate to analyses and other information, which are based on forecasts of future results and estimates of amounts not yet determinable. These statements also relate to our future prospects, developments and business strategies.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identified by their use of terms and phrases such as “anticipate,” “believe,” “could,” “estimate,” “expect,” “intend,” “may,” “plan,” “predict,” “project,” “will” and similar terms and phrases, including references to assumptions. Although we believe that our plans, intentions and expectations reflected in or suggested by such forward-looking statements are reasonable, we cannot assure you that such plans, intentions or expectations will be achieved. Important factors that could cause actual results to differ materially from our forward-looking statements include, but are not limited to:</w:t>
      </w:r>
    </w:p>
    <w:p>
      <w:pPr>
        <w:spacing w:after="0" w:line="151" w:lineRule="exact"/>
        <w:rPr>
          <w:sz w:val="20"/>
          <w:szCs w:val="20"/>
          <w:color w:val="auto"/>
        </w:rPr>
      </w:pPr>
    </w:p>
    <w:p>
      <w:pPr>
        <w:ind w:left="820" w:hanging="650"/>
        <w:spacing w:after="0"/>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prolonged weakness in general economic conditions, including adverse effects on the overall travel and leisure related industries;</w:t>
      </w:r>
    </w:p>
    <w:p>
      <w:pPr>
        <w:spacing w:after="0" w:line="2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unfavorable weather conditions or the impact of natural disasters;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line="250" w:lineRule="auto"/>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willingness of our guests to travel due to terrorism, the uncertainty of military conflicts or outbreaks of contagious diseases, and the cost and availability of travel options and changing consumer preferences;</w:t>
      </w:r>
    </w:p>
    <w:p>
      <w:pPr>
        <w:ind w:left="820" w:hanging="650"/>
        <w:spacing w:after="0"/>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seasonality of our business combined with adverse events that occur during our peak operating periods;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competition in our mountain and lodging businesses;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high fixed cost structure of our business;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fund resort capital expenditures;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reliance on government permits or approvals for our use of public land or to make operational and capital improvements;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a disruption in our water supply that would impact our snowmaking capabilities and operations;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federal, state, local and foreign government laws, rules and regulations;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our reliance on information technology, including our failure to maintain the integrity of our customer or employee data;</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hire and retain a sufficient seasonal workforce;</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our workforce, including increased labor costs;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loss of key personnel;</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adverse consequences of current or future legal claims;</w:t>
      </w:r>
    </w:p>
    <w:p>
      <w:pPr>
        <w:spacing w:after="0" w:line="9" w:lineRule="exact"/>
        <w:rPr>
          <w:rFonts w:ascii="Times New Roman" w:cs="Times New Roman" w:eastAsia="Times New Roman" w:hAnsi="Times New Roman"/>
          <w:sz w:val="18"/>
          <w:szCs w:val="18"/>
          <w:i w:val="1"/>
          <w:iCs w:val="1"/>
          <w:color w:val="auto"/>
        </w:rPr>
      </w:pPr>
    </w:p>
    <w:p>
      <w:pPr>
        <w:ind w:left="820" w:right="20" w:hanging="650"/>
        <w:spacing w:after="0" w:line="250" w:lineRule="auto"/>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deterioration in the quality or reputation of our brands, including our ability to protect our intellectual property and the risk of accidents at our mountain resorts;</w:t>
      </w:r>
    </w:p>
    <w:p>
      <w:pPr>
        <w:ind w:left="820" w:right="20" w:hanging="650"/>
        <w:spacing w:after="0" w:line="250" w:lineRule="auto"/>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successfully integrate acquired businesses, or that acquired businesses may fail to perform in accordance with expectations, including Whistler Blackcomb, Stowe or future acquisitions;</w:t>
      </w:r>
    </w:p>
    <w:p>
      <w:pPr>
        <w:ind w:left="820" w:hanging="650"/>
        <w:spacing w:after="0"/>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satisfy the requirements of Section 404 of the Sarbanes-Oxley Act of 2002, with respect to acquired businesses;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international operations;</w:t>
      </w:r>
    </w:p>
    <w:p>
      <w:pPr>
        <w:spacing w:after="0" w:line="9" w:lineRule="exact"/>
        <w:rPr>
          <w:rFonts w:ascii="Times New Roman" w:cs="Times New Roman" w:eastAsia="Times New Roman" w:hAnsi="Times New Roman"/>
          <w:sz w:val="18"/>
          <w:szCs w:val="18"/>
          <w:i w:val="1"/>
          <w:iCs w:val="1"/>
          <w:color w:val="auto"/>
        </w:rPr>
      </w:pPr>
    </w:p>
    <w:p>
      <w:pPr>
        <w:ind w:left="820" w:right="20" w:hanging="650"/>
        <w:spacing w:after="0" w:line="250" w:lineRule="auto"/>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fluctuations in foreign currency exchange rates where the Company has foreign currency exposure, primarily the Canadian and Australian dollars;</w:t>
      </w:r>
    </w:p>
    <w:p>
      <w:pPr>
        <w:ind w:left="820" w:hanging="650"/>
        <w:spacing w:after="0" w:line="250" w:lineRule="auto"/>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accounting and tax estimates and judgments, accounting principles, policies or guidelines or adverse determinations by taxing authorities;</w:t>
      </w:r>
    </w:p>
    <w:p>
      <w:pPr>
        <w:ind w:left="820" w:hanging="650"/>
        <w:spacing w:after="0"/>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materially adverse change in our financial condition; and</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risks and uncertainties included under Part I, Item 1A,“Risk Factors” in this document.</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 forward-looking statements attributable to us or any persons acting on our behalf are expressly qualified in their entirety by these cautionary statements.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one or more of these risks or uncertainties materialize, or if underlying assumptions prove incorrect, our actual results may vary materially from those expected, estimated or projected. Given these uncertainties, users of the information included in this Form 10-K, including investors and prospective investors, are cautioned not to place undue reliance on such forward-looking statements. Actual results may differ materially from those suggested by the forward-looking statements that we make for a number of reasons including those described above and in Part I, Item 1A, “Risk Factors” of this Form 10-K. All forward-looking statements are made only as of the date hereof. Except as may be required by law, we do not intend to update these forward-looking statements, even if new information, future events or other circumstances have made them incorrect or misleading.</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013"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PART I</w:t>
      </w:r>
    </w:p>
    <w:p>
      <w:pPr>
        <w:sectPr>
          <w:pgSz w:w="11900" w:h="16838" w:orient="portrait"/>
          <w:cols w:equalWidth="0" w:num="1">
            <w:col w:w="11420"/>
          </w:cols>
          <w:pgMar w:left="240" w:top="1009" w:right="2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both"/>
        <w:spacing w:after="0" w:line="541" w:lineRule="auto"/>
        <w:rPr>
          <w:sz w:val="20"/>
          <w:szCs w:val="20"/>
          <w:color w:val="auto"/>
        </w:rPr>
      </w:pPr>
      <w:r>
        <w:rPr>
          <w:rFonts w:ascii="Times New Roman" w:cs="Times New Roman" w:eastAsia="Times New Roman" w:hAnsi="Times New Roman"/>
          <w:sz w:val="17"/>
          <w:szCs w:val="17"/>
          <w:b w:val="1"/>
          <w:bCs w:val="1"/>
          <w:color w:val="auto"/>
        </w:rPr>
        <w:t>ITEM 1. General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675" w:lineRule="exact"/>
        <w:rPr>
          <w:sz w:val="20"/>
          <w:szCs w:val="20"/>
          <w:color w:val="auto"/>
        </w:rPr>
      </w:pPr>
    </w:p>
    <w:p>
      <w:pPr>
        <w:sectPr>
          <w:pgSz w:w="11900" w:h="16838" w:orient="portrait"/>
          <w:cols w:equalWidth="0" w:num="2">
            <w:col w:w="660" w:space="640"/>
            <w:col w:w="10120"/>
          </w:cols>
          <w:pgMar w:left="240" w:top="1009"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Vail Resorts, Inc., together with its subsidiaries, is referred to throughout this document as “we,” “us,” “our” or the “Company.”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Vail Resorts, Inc., a Delaware corporation, was organized as a holding company in 1997 and operates through various subsidiaries. Our operations are grouped into three business segments: Mountain, Lodging and Real Estate, which represented approximately 85%, 14% and 1%, respectively, of our net revenue for our fiscal year ended July 31, 2017 (“Fiscal 2017”).</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July 31, 2017, our Mountain segment operates eleven world-class mountain resort properties and three urban ski areas, as well as ancillary services, primarily including:</w:t>
      </w:r>
    </w:p>
    <w:p>
      <w:pPr>
        <w:spacing w:after="0" w:line="54"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ski school,</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dining,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retail/rental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Lodging segment includes the following:</w:t>
      </w:r>
    </w:p>
    <w:p>
      <w:pPr>
        <w:spacing w:after="0" w:line="11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and/or managed luxury hotels under our RockResorts brand, as well as other strategic lodging properties,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and/or managed condominiums located in proximity to our mountain resorts,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National Park Service (“NPS”) concessionaire properties, including Grand Teton Lodge Company (“GTLC”), which operates destination resorts at Grand Teton National Park,</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Colorado Mountain Express (“CME”), a Colorado resort ground transportation company,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Mountain resort golf courses.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Collectively, the Mountain and Lodging segments are considered the Resort segment. Our Real Estate segment owns, develops and sells real estate in and around our resort communities.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financial information and other information about the Company’s segments and geographic areas, see Item 7. “Management’s Discussion and Analysis of Financial Condition and Results of Operations” and Item 8. “Financial Statements and Supplementary Data” below.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009" w:right="2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Mountain Segment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portfolio of world-class mountain resorts and urban ski areas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848985" cy="3919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8985" cy="391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Colorado and Utah Resorts (Rocky Mountain Region)</w:t>
      </w:r>
    </w:p>
    <w:p>
      <w:pPr>
        <w:spacing w:after="0" w:line="160" w:lineRule="exact"/>
        <w:rPr>
          <w:sz w:val="20"/>
          <w:szCs w:val="20"/>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Breckenridge Ski Resort (“Breckenridge”) - the single most visited mountain resort in the United States (“U.S.”) for the 2016/2017 ski season with five interconnected peaks offering an expansive variety of terrain for every skill level, including access to above tree line intermediate and expert terrain, and progressive and award-winning terrain parks.</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Vail Mountain Resort (“Vail Mountain”) - the second most visited mountain resort in the U.S. for the 2016/2017 ski season. Vail Mountain offers some of the most expansive and varied terrain in North America with approximately 5,300 skiable acres including seven world renowned back bowls and the resort’s rustic Blue Sky Basin.</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Park City Resort (“Park City”) - the third most visited mountain resort in the U.S. for the 2016/2017 ski season and the largest by acreage in the U.S. Park City offers 7,300 acres of skiable terrain for every type of skier and snowboarder and offers guests an outstanding ski experience with fine dining, ski school, retail and lodging.</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Keystone Resort (“Keystone”) - the fifth most visited mountain resort in the U.S. for the 2016/2017 ski season and home to the highly renowned A51 Terrain Park, as well as the largest area of night skiing in Colorado. Keystone also offers guests a unique skiing opportunity through guided snow cat ski tours accessing five bowls. Keystone is a premier destination for families with its “Kidtopia” program focused on providing activities for kids on and off the mountain.</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Beaver Creek Resort (“Beaver Creek”) - the tenth most visited mountain resort in the U.S. for the 2016/2017 ski season. Beaver Creek is a European-style resort with multiple villages and also includes a world renowned children’s ski school program focused on providing a first-class experience with unique amenities such as a dedicated children’s gondola.</w:t>
      </w:r>
    </w:p>
    <w:p>
      <w:pPr>
        <w:sectPr>
          <w:pgSz w:w="11900" w:h="16838" w:orient="portrait"/>
          <w:cols w:equalWidth="0" w:num="1">
            <w:col w:w="11420"/>
          </w:cols>
          <w:pgMar w:left="240" w:top="1333"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333" w:right="2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u w:val="single" w:color="auto"/>
          <w:color w:val="auto"/>
        </w:rPr>
        <w:t>Lake Tahoe Resorts</w:t>
      </w:r>
    </w:p>
    <w:p>
      <w:pPr>
        <w:spacing w:after="0" w:line="119" w:lineRule="exact"/>
        <w:rPr>
          <w:sz w:val="20"/>
          <w:szCs w:val="20"/>
          <w:color w:val="auto"/>
        </w:rPr>
      </w:pPr>
    </w:p>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Heavenly Mountain Resort (“Heavenly”) - the eleventh most visited mountain resort in the U.S. for the 2016/2017 ski season. Heavenly is located near the South Shore of Lake Tahoe with over 4,800 skiable acres, straddling the border of California and Nevada, offers unique and spectacular views of Lake Tahoe and boasts the largest snowmaking capacity in the Lake Tahoe region. Heavenly offers great nightlife, including its proximity to several casinos.</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Northstar Resort (“Northstar”) - the thirteenth most visited mountain resort in the U.S. for the 2016/2017 ski season. Northstar is the premier luxury mountain resort destination near Lake Tahoe which offers premium lodging, a vibrant base area and over 3,000 skiable acres. Northstar’s village features high-end shops and restaurants, a conference center and a 9,000 square-foot skating rink.</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Kirkwood Mountain Resort (“Kirkwood”) - located southwest of Lake Tahoe, offering a unique location atop the Sierra Crest. Kirkwood is recognized for offering some of the best high alpine advanced terrain in North America with 2,000 feet of vertical drop and over 2,300 acres of terrain.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East Coast Resort</w:t>
      </w:r>
    </w:p>
    <w:p>
      <w:pPr>
        <w:spacing w:after="0" w:line="119" w:lineRule="exact"/>
        <w:rPr>
          <w:sz w:val="20"/>
          <w:szCs w:val="20"/>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Stowe Mountain Resort (“Stowe”) - acquired in June 2017, Stowe is a premier mountain resort located in Northern Vermont which offers high-end lodging and dining options. The mountain offers 116 trails on 485 skiable acres, with a variety of terrain for skiers of all skill levels, as well as a comprehensive offering of summer activities including zip line tours, hiking and sightseeing.</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Urban Ski Areas</w:t>
      </w:r>
    </w:p>
    <w:p>
      <w:pPr>
        <w:spacing w:after="0" w:line="119" w:lineRule="exact"/>
        <w:rPr>
          <w:sz w:val="20"/>
          <w:szCs w:val="20"/>
          <w:color w:val="auto"/>
        </w:rPr>
      </w:pPr>
    </w:p>
    <w:p>
      <w:pPr>
        <w:jc w:val="both"/>
        <w:ind w:left="6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Afton Alps Ski Area (“Afton Alps”), located near the Minneapolis/St. Paul metropolitan area, is the largest ski area near a major city in the Midwest and offers 48 trails, with night skiing, riding and tubing. Mount Brighton Ski Area (“Mt. Brighton”), located near Detroit, offers 26 trails with night skiing and riding. Wilmot Mountain (“Wilmot” ), located in southern Wisconsin, is near the Chicago metropolitan area and offers 25 trails, four terrain parks, a ski and snowboard school, a ski racing program and a tubing hill.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Resorts</w:t>
      </w:r>
    </w:p>
    <w:p>
      <w:pPr>
        <w:spacing w:after="0" w:line="121" w:lineRule="exact"/>
        <w:rPr>
          <w:sz w:val="20"/>
          <w:szCs w:val="20"/>
          <w:color w:val="auto"/>
        </w:rPr>
      </w:pPr>
    </w:p>
    <w:p>
      <w:pPr>
        <w:jc w:val="both"/>
        <w:ind w:left="660" w:hanging="328"/>
        <w:spacing w:after="0" w:line="25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Whistler Blackcomb Resort (“Whistler Blackcomb”) - acquired in October 2016 and located in British Columbia, Canada, Whistler Blackcomb is the most visited and largest year-round mountain resort in North America, with two mountains connected by the PEAK 2 PEAK gondola, which combined offer over 200 marked runs, over 8,000 acres of terrain, 14 alpine bowls, three glaciers and one of the longest ski seasons in North America. In the summer Whistler Blackcomb offers a variety of activities, including hiking trails, a bike park and sightseeing. Whistler Blackcomb is a popular destination for international visitors and was home to the 2010 Winter Olympics.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Perisher Ski Resort (“Perisher”) - located in New South Wales, Australia and is the largest and most visited ski resort in Australia and the Southern Hemisphere. Perisher provides accessibility, significant lodging and the market’s most skiable acreage for the country’s largest cities, including Sydney, Melbourne, Adelaide, Canberra and Brisbane. Perisher offers over 3,000 skiable acres on seven peaks and includes the resort areas known as Perisher Valley, Smiggin Holes, Blue Cow and Guthega, along with ski school, lodging, food and beverage, retail/rental and transportation operations.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resorts in Colorado, Utah, Lake Tahoe, Vermont and British Columbia, Canada are year-round mountain resorts that provide a comprehensive resort experience to a diverse clientele with an attractive demographic profile. Our resorts offer a broad complement of winter and summer recreational activities, including skiing, snowboarding, snowshoeing, snowtubing, sightseeing, mountain biking, guided hiking, zip lines, challenge ropes courses, alpine slides and mountain coasters, children’s activities and other recreational activities.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Mountain segment derives revenue through the sale of lift tickets, including season passes, as well as a comprehensive offering of amenities available to guests, including ski and snowboard lessons, equipment rentals and retail merchandise sales, a variety of dining venues, private club operations and other winter and summer recreational activities. In addition to providing extensive guest amenities, we also lease some of our owned and leased commercial space to third party operators to add unique restaurants and retail stores to the mix of amenities at the base of our resorts.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011"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u w:val="single" w:color="auto"/>
          <w:color w:val="auto"/>
        </w:rPr>
        <w:t>Ski Industry/Market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are approximately 780 ski areas in North America and approximately 480 in the U.S., ranging from small ski area operations that service day skiers to large resorts that attract both day skiers and destination resort guests looking for a comprehensive vacation experience. One of the primary ski industry statistics for measuring performance is “skier visit,” which represents a person utilizing a ticket or pass to access a mountain resort for any part of one day during a winter ski season, and includes both paid and complimentary access. During the 2016/2017 North American ski season, combined skier visits for all ski areas in North America were approximately 73.4 million. Our North American mountain resorts and urban ski areas had approximately 11.3 million skier visits during the 2016/2017 ski season representing approximately 15.4% of North American skier visits.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Rocky Mountain region mountain resorts appeal to both day skiers and destination guests due to our Colorado resorts’ proximity to Colorado’s Front Range (Denver, Colorado Springs and Boulder) metropolitan areas and Park City’s proximity to the Salt Lake City metropolitan area. The Colorado Front Range has a population of approximately 4.8 million and is within approximately 100 miles from each of our Colorado resorts, with access via a major highway. Additionally, the Salt Lake City metropolitan area has a population of approximately 1.2 million and is approximately 30 miles from Park City. These resorts are also accessible from several airports, including Denver International Airport and Eagle County Airport in Colorado and the Salt Lake City International Airport in Utah and have a wide range of amenities available at each resort, as well as within the proximate base areas, villages and towns. The Rocky Mountain region has 94 ski areas. All ski areas within the Rocky Mountain region combined recorded approximately 21.7 million skier visits for the 2016/2017 ski season with skier visits at our Rocky Mountain region mountain resorts totaling 6.7 million, or approximately 30.9% of total Rocky Mountain region skier visits for the 2016/2017 ski season.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Lake Tahoe, which straddles the border of California and Nevada, is a major skiing destination less than 100 miles from Sacramento and Reno and approximately 200 miles from San Francisco, drawing skiers from the entirety of California and Nevada and making it a convenient destination for both day skiers and destination guests. Heavenly, located near the South Shore of Lake Tahoe; Northstar, located near the North Shore of Lake Tahoe; and Kirkwood, located about 35 miles southwest of South Lake Tahoe, are popular year-round vacation destinations, featuring outstanding winter sports offerings and extensive summer attractions. Heavenly, Northstar and Kirkwood are proximate to both the Reno/Tahoe International Airport and the Sacramento International Airport. California and Nevada collectively have 34 ski areas. Our Lake Tahoe resorts had approximately 1.8 million skier visits for the 2016/2017 ski season, which was approximately 25.7% of the approximately 7.0 million total California and Nevada skier visits for the 2016/2017 ski season.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Whistler Blackcomb is located in the Coast Mountains of British Columbia, Canada and is approximately 85 miles from the Vancouver International Airport. Whistler Blackcomb is North America’s largest four-season mountain resort. For the 2016/2017 North American ski season, Whistler Blackcomb generated approximately 23.6% of the total skier visits in the Pacific Northwest region (including British Columbia).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Competition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is limited opportunity for development of new destination ski resorts due to the limited private lands on which ski areas can be built, the difficulty in obtaining the appropriate governmental approvals to build on public lands and the significant capital needed to construct the necessary infrastructure. As such, there have been virtually no new destination ski resorts in North America for over 30 years, which has and should continue to allow the best-positioned destination resorts to benefit from future industry growth. Our resorts compete with other major destination mountain resorts, including, among others, Aspen Snowmass, Copper Mountain, Mammoth, Deer Valley, Snowbird, Squaw Valley USA, Killington, Okemo, Sierra at Tahoe, Steamboat, Jackson Hole and Winter Park, as well as other ski areas in Colorado, California, Nevada, Utah, the Pacific Northwest, the Northeast, Southwest and British Columbia, Canada, and other destination ski areas in North America and worldwide as well as non-ski related vacation options and destinations. Additionally, our season pass products compete with other multi-resort frequency and pass products in North America.</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the ski industry has performed well in recent years in terms of number of skier visits, with the five best seasons occurring in the past ten years for U.S. visitation, a particular ski area’s growth is also largely dependent on either attracting skiers away from other resorts, generating more revenue per skier visit or generating more visits from each skier. The better capitalized mountain resorts operators, including Vail Resorts, are expanding their offerings, as well as enhancing the quality and experience by adding new high speed chairlifts, gondolas, terrain parks, state of the art grooming machines, expanded terrain, on-mountain dining venues, as well as amenities at the base areas of the resorts, including dining, retail and lodging, all of which are aimed at increasing guest visitation and revenue per skier visit.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premier resorts and business model differentiate our Company from the rest of the ski industry. We have iconic, branded mountain resorts in important ski destinations in Colorado, Utah, Lake Tahoe and British Columbia, Canada. Through our sales of season passes, we provide our guests with a strong value proposition in return for guests committing to ski at our resorts prior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011" w:right="239" w:bottom="1440" w:gutter="0" w:footer="0" w:header="0"/>
        </w:sectPr>
      </w:pPr>
    </w:p>
    <w:bookmarkStart w:id="8" w:name="page9"/>
    <w:bookmarkEnd w:id="8"/>
    <w:p>
      <w:pPr>
        <w:jc w:val="both"/>
        <w:spacing w:after="0" w:line="261" w:lineRule="auto"/>
        <w:rPr>
          <w:sz w:val="20"/>
          <w:szCs w:val="20"/>
          <w:color w:val="auto"/>
        </w:rPr>
      </w:pPr>
      <w:r>
        <w:rPr>
          <w:rFonts w:ascii="Times New Roman" w:cs="Times New Roman" w:eastAsia="Times New Roman" w:hAnsi="Times New Roman"/>
          <w:sz w:val="18"/>
          <w:szCs w:val="18"/>
          <w:color w:val="auto"/>
        </w:rPr>
        <w:t>to, or very early into the ski season, which we believe attracts more guests to our resorts. We believe we invest in more capital improvements than our competitors and we create synergies by operating multiple resorts, which enhances our profitability. Additionally, most of our mountain resorts located in the U.S. typically rank in the most visited ski resorts in the U.S., and most of our mountain resorts consistently rank in the top ranked ski resorts in North America according to industry surveys, which we attribute to our mountain resorts’ ability to provide a high-quality experience.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Summer tourism at our destination resorts provides for a strong summer business opportunity. Our mountain resorts offer non-ski related attractions such as sightseeing, mountain biking, guided hiking, 4x4 Jeep tours, zip line tours, challenge ropes courses, alpine slides and coasters, children’s activities and other recreational activities. In the fall of 2011, the Ski Area Recreational Opportunities Enhancement Act was enacted into law which allows our mountain resorts on USDA Forest Service (“Forest Service”) land to offer more summer-season recreational opportunities. The second year of Epic Discovery, our comprehensive summer activities program which launched at both Vail Mountain and Heavenly in June 2016 and at Breckenridge in June 2017, introduced a number of new activities, including zip lines, challenge ropes courses, tubing, mountain excursions, canopy tours and Forest Flyers (i.e. alpine coasters). Additionally, our summer business at Whistler Blackcomb, Park City and Stowe is robust and offers guests a number of activities including biking, hiking and zip lines, among other summer activities. These activities are popular with summer travelers and introduce a new guest demographic to our mountain resorts.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ski industry statistics stated in this section have been derived from data published by Colorado Ski Country USA, Canadian Ski Council, Kottke National End of Season Survey 2016/2017 (the “Kottke Survey”) and other industry publications.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Competitive Strengths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our mountain resorts maintain the distinction of competing effectively as both market leaders and quality leaders. We believe the following factors contribute directly to each resort’s success: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Exceptional Mountain Experience</w:t>
      </w:r>
    </w:p>
    <w:p>
      <w:pPr>
        <w:spacing w:after="0" w:line="119"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World-Class Mountain Resorts and Integrated Base Resort Areas</w:t>
      </w:r>
    </w:p>
    <w:p>
      <w:pPr>
        <w:spacing w:after="0" w:line="117" w:lineRule="exact"/>
        <w:rPr>
          <w:rFonts w:ascii="Times New Roman" w:cs="Times New Roman" w:eastAsia="Times New Roman" w:hAnsi="Times New Roman"/>
          <w:sz w:val="18"/>
          <w:szCs w:val="18"/>
          <w:color w:val="auto"/>
        </w:rPr>
      </w:pPr>
    </w:p>
    <w:p>
      <w:pPr>
        <w:jc w:val="both"/>
        <w:ind w:left="66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mountain resorts offer a multitude of skiing and snowboarding experiences for the beginner, intermediate, advanced and expert levels. Each mountain resort is fully integrated into expansive resort base areas offering a broad array of lodging, dining, retail, nightlife and other amenities, some of which we own or manage, to our guests.</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Snow Conditions</w:t>
      </w:r>
    </w:p>
    <w:p>
      <w:pPr>
        <w:spacing w:after="0" w:line="117"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mountain resorts are located in areas that generally receive significantly higher than average snowfall compared to most other North American ski resort locations. Our resorts in the Rocky Mountain region of Colorado and Utah, the Sierra Nevada Mountains in Lake Tahoe and the Coast Mountains in British Columbia, Canada receive average yearly snowfall between 20 and 39 feet. Average yearly snowfall in Australia is significantly lower than at North American ski resorts, although Perisher generally receives higher average yearly snowfall compared to other Australian alpine ski resorts due to its location in the Australian Alps and the elevation of its terrain. Even in these abundant snowfall areas, we have significant snowmaking systems that can help provide a more consistent experience, especially in the early season. Additionally, we provide several hundred acres of groomed terrain at each of our mountain resorts with extensive fleets of snow grooming equipment.</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Lift Service</w:t>
      </w:r>
    </w:p>
    <w:p>
      <w:pPr>
        <w:spacing w:after="0" w:line="117"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systematically upgrade our lifts and put in new lifts to increase uphill capacity and streamline skier traffic to maximize the guest experience. In the past several years, we have installed several high speed chairlifts and gondolas across our mountain resorts, including the Sun Up chairlift at Vail Mountain (Chair 17); several chairlifts at Wilmot; an eight-passenger gondola connecting Park City and Canyons; a high-speed, state-of-the-art combination gondola and chairlift replacing the Centennial Express Lift at Beaver Creek; a high-speed, six-passenger chairlift replacing the Colorado SuperChair at Breckenridge, which is the primary chairlift serving the critical Peak 8 base area; a high-speed, six-passenger chairlift and a new four-passenger chairlift to access the Peak 6 area in Breckenridge; and a state-of-the-art ten passenger gondola (Gondola 1) at Vail. For the 2017/2018 ski season, upgrades to various chairlifts include, among other projects, the Northwoods lift at Vail Mountain (Chair 11), the Peak 10 Falcon Chair at Breckenridge, Drink of Water chair (Chair 5) at Beaver Creek, and the Montezuma lift at Keystone.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013" w:right="239" w:bottom="1440" w:gutter="0" w:footer="0" w:header="0"/>
        </w:sectPr>
      </w:pPr>
    </w:p>
    <w:bookmarkStart w:id="9" w:name="page10"/>
    <w:bookmarkEnd w:id="9"/>
    <w:p>
      <w:pPr>
        <w:ind w:left="328" w:hanging="328"/>
        <w:spacing w:after="0"/>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Terrain Parks</w:t>
      </w:r>
    </w:p>
    <w:p>
      <w:pPr>
        <w:spacing w:after="0" w:line="117" w:lineRule="exact"/>
        <w:rPr>
          <w:rFonts w:ascii="Times New Roman" w:cs="Times New Roman" w:eastAsia="Times New Roman" w:hAnsi="Times New Roman"/>
          <w:sz w:val="18"/>
          <w:szCs w:val="18"/>
          <w:color w:val="auto"/>
        </w:rPr>
      </w:pPr>
    </w:p>
    <w:p>
      <w:pPr>
        <w:jc w:val="both"/>
        <w:ind w:left="32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mountain resorts and urban ski areas are committed to leading the industry in terrain park design, education and events for the growing segment of freestyle skiers and snowboarders. Each of our mountain resorts has multiple terrain parks that include progressively-challenging features. These park structures, coupled with freestyle ski school programs, promote systematic learning from basic to professional skills.</w:t>
      </w:r>
    </w:p>
    <w:p>
      <w:pPr>
        <w:spacing w:after="0" w:line="17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auto"/>
        </w:rPr>
        <w:t>Extraordinary Service and Amenities</w:t>
      </w:r>
    </w:p>
    <w:p>
      <w:pPr>
        <w:spacing w:after="0" w:line="119" w:lineRule="exact"/>
        <w:rPr>
          <w:sz w:val="20"/>
          <w:szCs w:val="20"/>
          <w:color w:val="auto"/>
        </w:rPr>
      </w:pPr>
    </w:p>
    <w:p>
      <w:pPr>
        <w:ind w:left="328" w:hanging="328"/>
        <w:spacing w:after="0"/>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 the Guest Experience</w:t>
      </w:r>
    </w:p>
    <w:p>
      <w:pPr>
        <w:spacing w:after="0" w:line="117" w:lineRule="exact"/>
        <w:rPr>
          <w:rFonts w:ascii="Times New Roman" w:cs="Times New Roman" w:eastAsia="Times New Roman" w:hAnsi="Times New Roman"/>
          <w:sz w:val="18"/>
          <w:szCs w:val="18"/>
          <w:color w:val="auto"/>
        </w:rPr>
      </w:pPr>
    </w:p>
    <w:p>
      <w:pPr>
        <w:jc w:val="both"/>
        <w:ind w:left="328"/>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focus is to provide quality service at every level of the guest experience. Prior to arrival at our mountain resorts, guests can receive personal assistance through our full-service, in-house travel center and through our comprehensive websites to book desired lodging accommodations, lift tickets, ski school lessons, equipment rentals and travel arrangements. Upon arrival, our resort staff serve as ambassadors to engage guests, answer questions and create a customer focused environment. In addition, we offer guests what we believe is the industry leading EpicMix application. EpicMix is an online and mobile application that, through radio frequency technology, captures a guest’s activity on the mountain (e.g. number of ski days, vertical feet skied and chairlift activity) and allows a guest to share his or her experience and accomplishments with family and friends on social networks. Since the initial launch of our EpicMix technology, we have expanded EpicMix to include additional offerings such as EpicMix Time, which allows guests to access real time lift line wait times; EpicMix Academy, which allows our ski school instructors to certify the attainment of certain skills and ski levels; EpicMix Photo, which provides professional photos and allows guests to share photos on social networks; and EpicMix Guide, which uses guest input to provide a customized, step-by-step navigational guide to experience our mountains in Colorado, Utah and Tahoe. EpicMix is expected to be implemented at Whistler Blackcomb for the upcoming 2017/2018 North American ski season.</w:t>
      </w:r>
    </w:p>
    <w:p>
      <w:pPr>
        <w:spacing w:after="0" w:line="192" w:lineRule="exact"/>
        <w:rPr>
          <w:rFonts w:ascii="Times New Roman" w:cs="Times New Roman" w:eastAsia="Times New Roman" w:hAnsi="Times New Roman"/>
          <w:sz w:val="18"/>
          <w:szCs w:val="18"/>
          <w:color w:val="auto"/>
        </w:rPr>
      </w:pPr>
    </w:p>
    <w:p>
      <w:pPr>
        <w:ind w:left="32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solicit guest feedback through a variety of surveys and results, which are used to ensure high levels of customer satisfaction, understand trends and develop future resort programs and amenities.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 Pass Products</w:t>
      </w:r>
    </w:p>
    <w:p>
      <w:pPr>
        <w:spacing w:after="0" w:line="117" w:lineRule="exact"/>
        <w:rPr>
          <w:rFonts w:ascii="Times New Roman" w:cs="Times New Roman" w:eastAsia="Times New Roman" w:hAnsi="Times New Roman"/>
          <w:sz w:val="18"/>
          <w:szCs w:val="18"/>
          <w:color w:val="auto"/>
        </w:rPr>
      </w:pPr>
    </w:p>
    <w:p>
      <w:pPr>
        <w:jc w:val="both"/>
        <w:ind w:left="328"/>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a variety of season pass products for all of our mountain resorts and urban ski areas that are marketed towards both out-of-state and international (“Destination”) guests and in-state and local (“Local”) guests. Our season pass products are available for purchase predominately during the period prior to the start of the ski season, offering our guests a better value in exchange for their commitment to ski at our resorts before the season begins. As such, our season pass program drives strong customer loyalty, mitigates exposure to more weather sensitive guests leading to greater revenue stability and allows us to capture valuable guest data. Additionally, our season pass customers typically ski more days each season than those guests who do not buy season passes, which leads to additional ancillary spending. Season pass products generated approximately 43% of our total lift revenue for Fiscal 2017. In addition, our season pass products attract new guests to our mountain resorts and urban ski areas. Sales of season pass products are a key component of our overall Mountain segment revenue and help create strong synergies among our mountain resorts and urban ski areas. Our season pass products range from providing access to one or a combination of our mountain resorts and urban ski areas to our Epic Pass which provides unrestricted access to all our mountain resorts and urban ski areas. All of our various season pass options can be found on our consumer website www.snow.com. Information on our websites does not constitute part of this document.</w:t>
      </w:r>
    </w:p>
    <w:p>
      <w:pPr>
        <w:spacing w:after="0" w:line="192" w:lineRule="exact"/>
        <w:rPr>
          <w:rFonts w:ascii="Times New Roman" w:cs="Times New Roman" w:eastAsia="Times New Roman" w:hAnsi="Times New Roman"/>
          <w:sz w:val="18"/>
          <w:szCs w:val="18"/>
          <w:color w:val="auto"/>
        </w:rPr>
      </w:pPr>
    </w:p>
    <w:p>
      <w:pPr>
        <w:jc w:val="both"/>
        <w:ind w:left="328"/>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our continued strategy to drive season pass sales and create a stronger connection between key skier markets and our iconic destination mountain resorts, we have continued to expand our portfolio of properties in recent years. Whistler Blackcomb, acquired in October 2016, is a world-renowned international skiing destination which receives more than two million skier visits each year. Stowe, acquired in June 2017, is the premier high-end ski resort for skiers and snowboarders on the East Coast, which draws visitors from New York City, Boston and the broader Northeast skier population. In June 2015, we acquired Perisher in Australia, which is also an important international market for ski resorts across the Northern Hemisphere, generating an estimated more than one million skier visits annually to resorts in North America, Japan and Europe. Additionally, our urban ski areas are strategically positioned near key U.S. population centers; Wilmot in Wisconsin near the Chicago and Milwaukee metropolitan areas, Afton Alps in Minnesota near Minneapolis/St. Paul and Mt. Brighton in Michigan near Detroit. This close proximity to major Midwestern skier markets allows guests to visit regularly during the week, including popular night skiing, or on the weekends. Additionally, these cities offer major airports with routine direct flights to Denver, San Francisco and Salt Lake City.</w:t>
      </w:r>
    </w:p>
    <w:p>
      <w:pPr>
        <w:spacing w:after="0" w:line="186" w:lineRule="exact"/>
        <w:rPr>
          <w:rFonts w:ascii="Times New Roman" w:cs="Times New Roman" w:eastAsia="Times New Roman" w:hAnsi="Times New Roman"/>
          <w:sz w:val="18"/>
          <w:szCs w:val="18"/>
          <w:color w:val="auto"/>
        </w:rPr>
      </w:pPr>
    </w:p>
    <w:p>
      <w:pPr>
        <w:ind w:left="328"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our strategy increases the value of our season pass products and dramatically enhances the connection between our destination mountain resorts, urban ski areas and key skier markets.</w:t>
      </w:r>
    </w:p>
    <w:p>
      <w:pPr>
        <w:spacing w:after="0" w:line="18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88"/>
          </w:cols>
          <w:pgMar w:left="572" w:top="1013" w:right="239" w:bottom="1440" w:gutter="0" w:footer="0" w:header="0"/>
        </w:sectPr>
      </w:pPr>
    </w:p>
    <w:bookmarkStart w:id="10" w:name="page11"/>
    <w:bookmarkEnd w:id="10"/>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Premier Ski Schools</w:t>
      </w:r>
    </w:p>
    <w:p>
      <w:pPr>
        <w:spacing w:after="0" w:line="117"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mountain resorts are home to some of the highest quality and most widely recognized ski and snowboard schools in the industry. Through a combination of outstanding training and abundant work opportunities, our ski schools have become home to many of the most experienced and credentialed professionals in the business. We complement our instructor staff with state-of-the-art facilities and extensive learning terrain, all with a keen attention to guest needs. We offer a wide variety of adult and child group and private lesson options with a goal of creating lifelong skiers and riders and showcasing to our guests all the terrain our resorts have to offer.</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Dining</w:t>
      </w:r>
    </w:p>
    <w:p>
      <w:pPr>
        <w:spacing w:after="0" w:line="117"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resorts provide a variety of quality on-mountain and base village dining venues, ranging from top-rated fine dining restaurants to trailside express food service outlets. We operate approximately 190 dining venues at our mountain resorts and urban ski areas.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Retail/Rental</w:t>
      </w:r>
    </w:p>
    <w:p>
      <w:pPr>
        <w:spacing w:after="0" w:line="117"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approximately 270 retail/rental locations specializing in sporting goods including ski, snowboard, golf and cycling equipment. In addition to providing a major retail/rental presence at each of our mountain resorts, we also have retail/rental locations throughout the Colorado Front Range and at other Colorado and California ski resorts, as well as the San Francisco Bay Area, Salt Lake City and Minneapolis. Many of the locations in the Colorado Front Range and in the San Francisco Bay Area also offer prime venues for selling our season pass products.</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On-Mountain Activities</w:t>
      </w:r>
    </w:p>
    <w:p>
      <w:pPr>
        <w:spacing w:after="0" w:line="117"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ski industry leader in providing comprehensive destination vacation experiences, including on-mountain activities designed to appeal to a broad range of interests. In addition to our exceptional ski experiences, guests can choose from a variety of non-ski related activities such as snowtubing, snowshoeing, guided snowmobile and scenic cat tours, backcountry expeditions, horse-drawn sleigh rides and high altitude dining. During the summer, on-mountain recreational activities provide guests with a wide array of options including scenic chairlift and gondola rides; mountain biking; horseback riding; hiking; 4x4 Jeep tours; and our Epic Discovery program at Vail Mountain, Breckenridge and Heavenly. The Epic Discovery program encourages “learn through play” by featuring extensive environmental educational elements interspersed between numerous activities, consisting of zip lines, children’s activities, challenge ropes courses, tubing, mountain excursions, an alpine slide and alpine coasters.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Lodging and Real Estate</w:t>
      </w:r>
    </w:p>
    <w:p>
      <w:pPr>
        <w:spacing w:after="0" w:line="117"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lodging options are an integral part of providing a complete resort experience. Our owned or managed hotels and resorts proximate to our mountain resorts, including five RockResorts branded properties and a significant inventory of managed condominium units, provide numerous accommodation options for our mountain resort guests. More recently, our real estate efforts have focused on the potential to expand our destination bed base and upgrade our resorts through the sale of land parcels to third-party developers which in turn provides opportunity for the development of condominiums, luxury hotels, parking and commercial space for restaurants and retail shops. Our Lodging and Real Estate segments have and continue to invest in resort related assets and amenities or seek opportunities to expand and enhance the overall resort experience.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Lodging Segment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Lodging segment includes the following operations, which collectively offer a wide range of services to guests (additional property details provided in the table below and in Item 2. Properties):</w:t>
      </w:r>
    </w:p>
    <w:p>
      <w:pPr>
        <w:spacing w:after="0" w:line="54"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 owned and twenty two managed properties, including those under our luxury hotel management company, RockResorts;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Managed condominium units which are in and around our mountain resorts in Colorado, Lake Tahoe, Utah and British Columbia, Canada;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NPS concessionaire properties in and near Grand Teton National Park in Wyoming;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CME, a resort ground transportation company in Colorado; and</w:t>
      </w:r>
    </w:p>
    <w:p>
      <w:pPr>
        <w:spacing w:after="0" w:line="9"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Company-owned mountain resort golf courses including five in Colorado and one in Wyoming and two Company-operated mountain golf courses, one in Lake Tahoe, California and one in Park City, Utah.</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29" w:right="239" w:bottom="1440" w:gutter="0" w:footer="0" w:header="0"/>
        </w:sectPr>
      </w:pPr>
    </w:p>
    <w:bookmarkStart w:id="11" w:name="page12"/>
    <w:bookmarkEnd w:id="11"/>
    <w:p>
      <w:pPr>
        <w:spacing w:after="0" w:line="282" w:lineRule="auto"/>
        <w:rPr>
          <w:sz w:val="20"/>
          <w:szCs w:val="20"/>
          <w:color w:val="auto"/>
        </w:rPr>
      </w:pPr>
      <w:r>
        <w:rPr>
          <w:rFonts w:ascii="Times New Roman" w:cs="Times New Roman" w:eastAsia="Times New Roman" w:hAnsi="Times New Roman"/>
          <w:sz w:val="18"/>
          <w:szCs w:val="18"/>
          <w:color w:val="auto"/>
        </w:rPr>
        <w:t>The Lodging segment currently includes approximately 4,700 owned and managed hotel rooms and condominium units. Additional property details on our portfolio of owned or managed luxury resort hotels and other hotels and properties are provided in the table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96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Own/Manage</w:t>
            </w:r>
          </w:p>
        </w:tc>
        <w:tc>
          <w:tcPr>
            <w:tcW w:w="17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 xml:space="preserve">Rooms/Units </w:t>
            </w:r>
            <w:r>
              <w:rPr>
                <w:rFonts w:ascii="Times New Roman" w:cs="Times New Roman" w:eastAsia="Times New Roman" w:hAnsi="Times New Roman"/>
                <w:sz w:val="25"/>
                <w:szCs w:val="25"/>
                <w:b w:val="1"/>
                <w:bCs w:val="1"/>
                <w:color w:val="auto"/>
                <w:vertAlign w:val="superscript"/>
              </w:rPr>
              <w:t>(1)</w:t>
            </w: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RockResorts:</w:t>
            </w:r>
          </w:p>
        </w:tc>
        <w:tc>
          <w:tcPr>
            <w:tcW w:w="296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70"/>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Lodge at Vail</w:t>
            </w:r>
          </w:p>
        </w:tc>
        <w:tc>
          <w:tcPr>
            <w:tcW w:w="29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Vail, CO</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1760" w:type="dxa"/>
            <w:vAlign w:val="bottom"/>
          </w:tcPr>
          <w:p>
            <w:pPr>
              <w:jc w:val="center"/>
              <w:spacing w:after="0" w:line="269" w:lineRule="exact"/>
              <w:rPr>
                <w:sz w:val="20"/>
                <w:szCs w:val="20"/>
                <w:color w:val="auto"/>
              </w:rPr>
            </w:pPr>
            <w:r>
              <w:rPr>
                <w:rFonts w:ascii="Times New Roman" w:cs="Times New Roman" w:eastAsia="Times New Roman" w:hAnsi="Times New Roman"/>
                <w:sz w:val="31"/>
                <w:szCs w:val="31"/>
                <w:color w:val="auto"/>
                <w:w w:val="95"/>
                <w:vertAlign w:val="subscript"/>
              </w:rPr>
              <w:t>170</w:t>
            </w:r>
            <w:r>
              <w:rPr>
                <w:rFonts w:ascii="Times New Roman" w:cs="Times New Roman" w:eastAsia="Times New Roman" w:hAnsi="Times New Roman"/>
                <w:sz w:val="12"/>
                <w:szCs w:val="12"/>
                <w:color w:val="auto"/>
                <w:w w:val="95"/>
              </w:rPr>
              <w:t xml:space="preserve"> (2)</w:t>
            </w:r>
          </w:p>
        </w:tc>
      </w:tr>
      <w:tr>
        <w:trPr>
          <w:trHeight w:val="270"/>
        </w:trPr>
        <w:tc>
          <w:tcPr>
            <w:tcW w:w="4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 Arrabelle at Vail Square</w:t>
            </w:r>
          </w:p>
        </w:tc>
        <w:tc>
          <w:tcPr>
            <w:tcW w:w="296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8"/>
              </w:rPr>
              <w:t>Vail, CO</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1760" w:type="dxa"/>
            <w:vAlign w:val="bottom"/>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color w:val="auto"/>
                <w:w w:val="95"/>
                <w:vertAlign w:val="subscript"/>
              </w:rPr>
              <w:t>99</w:t>
            </w:r>
            <w:r>
              <w:rPr>
                <w:rFonts w:ascii="Times New Roman" w:cs="Times New Roman" w:eastAsia="Times New Roman" w:hAnsi="Times New Roman"/>
                <w:sz w:val="12"/>
                <w:szCs w:val="12"/>
                <w:color w:val="auto"/>
                <w:w w:val="95"/>
              </w:rPr>
              <w:t xml:space="preserve"> (2)</w:t>
            </w:r>
          </w:p>
        </w:tc>
      </w:tr>
      <w:tr>
        <w:trPr>
          <w:trHeight w:val="270"/>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Pines Lodge</w:t>
            </w:r>
          </w:p>
        </w:tc>
        <w:tc>
          <w:tcPr>
            <w:tcW w:w="29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Beaver Creek, CO</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1760" w:type="dxa"/>
            <w:vAlign w:val="bottom"/>
          </w:tcPr>
          <w:p>
            <w:pPr>
              <w:jc w:val="center"/>
              <w:spacing w:after="0" w:line="269" w:lineRule="exact"/>
              <w:rPr>
                <w:sz w:val="20"/>
                <w:szCs w:val="20"/>
                <w:color w:val="auto"/>
              </w:rPr>
            </w:pPr>
            <w:r>
              <w:rPr>
                <w:rFonts w:ascii="Times New Roman" w:cs="Times New Roman" w:eastAsia="Times New Roman" w:hAnsi="Times New Roman"/>
                <w:sz w:val="31"/>
                <w:szCs w:val="31"/>
                <w:color w:val="auto"/>
                <w:w w:val="95"/>
                <w:vertAlign w:val="subscript"/>
              </w:rPr>
              <w:t>71</w:t>
            </w:r>
            <w:r>
              <w:rPr>
                <w:rFonts w:ascii="Times New Roman" w:cs="Times New Roman" w:eastAsia="Times New Roman" w:hAnsi="Times New Roman"/>
                <w:sz w:val="12"/>
                <w:szCs w:val="12"/>
                <w:color w:val="auto"/>
                <w:w w:val="95"/>
              </w:rPr>
              <w:t xml:space="preserve"> (2)</w:t>
            </w:r>
          </w:p>
        </w:tc>
      </w:tr>
      <w:tr>
        <w:trPr>
          <w:trHeight w:val="270"/>
        </w:trPr>
        <w:tc>
          <w:tcPr>
            <w:tcW w:w="4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 Osprey at Beaver Creek</w:t>
            </w:r>
          </w:p>
        </w:tc>
        <w:tc>
          <w:tcPr>
            <w:tcW w:w="296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Beaver Creek, CO</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1760" w:type="dxa"/>
            <w:vAlign w:val="bottom"/>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color w:val="auto"/>
                <w:w w:val="95"/>
                <w:vertAlign w:val="subscript"/>
              </w:rPr>
              <w:t>47</w:t>
            </w:r>
            <w:r>
              <w:rPr>
                <w:rFonts w:ascii="Times New Roman" w:cs="Times New Roman" w:eastAsia="Times New Roman" w:hAnsi="Times New Roman"/>
                <w:sz w:val="12"/>
                <w:szCs w:val="12"/>
                <w:color w:val="auto"/>
                <w:w w:val="95"/>
              </w:rPr>
              <w:t xml:space="preserve"> (2)</w:t>
            </w: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One Ski Hill Place</w:t>
            </w:r>
          </w:p>
        </w:tc>
        <w:tc>
          <w:tcPr>
            <w:tcW w:w="29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Breckenridge, CO</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r>
      <w:tr>
        <w:trPr>
          <w:trHeight w:val="27"/>
        </w:trPr>
        <w:tc>
          <w:tcPr>
            <w:tcW w:w="40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97"/>
        </w:trPr>
        <w:tc>
          <w:tcPr>
            <w:tcW w:w="404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23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Other Hotels and Properties:</w:t>
            </w:r>
          </w:p>
        </w:tc>
        <w:tc>
          <w:tcPr>
            <w:tcW w:w="29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7"/>
        </w:trPr>
        <w:tc>
          <w:tcPr>
            <w:tcW w:w="40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DoubleTree by Hilton Breckenridge</w:t>
            </w:r>
          </w:p>
        </w:tc>
        <w:tc>
          <w:tcPr>
            <w:tcW w:w="2960" w:type="dxa"/>
            <w:vAlign w:val="bottom"/>
            <w:tcBorders>
              <w:bottom w:val="single" w:sz="8" w:color="CCEEFF"/>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Breckenridge, CO</w:t>
            </w:r>
          </w:p>
        </w:tc>
        <w:tc>
          <w:tcPr>
            <w:tcW w:w="2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208</w:t>
            </w: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Keystone Lodge</w:t>
            </w:r>
          </w:p>
        </w:tc>
        <w:tc>
          <w:tcPr>
            <w:tcW w:w="29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Keystone, CO</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152</w:t>
            </w:r>
          </w:p>
        </w:tc>
      </w:tr>
      <w:tr>
        <w:trPr>
          <w:trHeight w:val="27"/>
        </w:trPr>
        <w:tc>
          <w:tcPr>
            <w:tcW w:w="40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Village Hotel</w:t>
            </w:r>
          </w:p>
        </w:tc>
        <w:tc>
          <w:tcPr>
            <w:tcW w:w="2960" w:type="dxa"/>
            <w:vAlign w:val="bottom"/>
            <w:tcBorders>
              <w:bottom w:val="single" w:sz="8" w:color="CCEEFF"/>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Breckenridge, CO</w:t>
            </w:r>
          </w:p>
        </w:tc>
        <w:tc>
          <w:tcPr>
            <w:tcW w:w="2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Ski Tip Lodge</w:t>
            </w:r>
          </w:p>
        </w:tc>
        <w:tc>
          <w:tcPr>
            <w:tcW w:w="29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Keystone, CO</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Own</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7"/>
        </w:trPr>
        <w:tc>
          <w:tcPr>
            <w:tcW w:w="40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Vail Marriott Mountain Resort &amp; Spa</w:t>
            </w:r>
          </w:p>
        </w:tc>
        <w:tc>
          <w:tcPr>
            <w:tcW w:w="2960" w:type="dxa"/>
            <w:vAlign w:val="bottom"/>
            <w:tcBorders>
              <w:bottom w:val="single" w:sz="8" w:color="CCEEFF"/>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8"/>
              </w:rPr>
              <w:t>Vail, CO</w:t>
            </w:r>
          </w:p>
        </w:tc>
        <w:tc>
          <w:tcPr>
            <w:tcW w:w="2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Manage</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347</w:t>
            </w: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Austria Haus Hotel</w:t>
            </w:r>
          </w:p>
        </w:tc>
        <w:tc>
          <w:tcPr>
            <w:tcW w:w="29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Vail, CO</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7"/>
        </w:trPr>
        <w:tc>
          <w:tcPr>
            <w:tcW w:w="40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Mountain Thunder Lodge</w:t>
            </w:r>
          </w:p>
        </w:tc>
        <w:tc>
          <w:tcPr>
            <w:tcW w:w="2960" w:type="dxa"/>
            <w:vAlign w:val="bottom"/>
            <w:tcBorders>
              <w:bottom w:val="single" w:sz="8" w:color="CCEEFF"/>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Breckenridge, CO</w:t>
            </w:r>
          </w:p>
        </w:tc>
        <w:tc>
          <w:tcPr>
            <w:tcW w:w="2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Manage</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Crystal Peak Lodge</w:t>
            </w:r>
          </w:p>
        </w:tc>
        <w:tc>
          <w:tcPr>
            <w:tcW w:w="29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Breckenridge, CO</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7"/>
        </w:trPr>
        <w:tc>
          <w:tcPr>
            <w:tcW w:w="40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Inn at Keystone</w:t>
            </w:r>
          </w:p>
        </w:tc>
        <w:tc>
          <w:tcPr>
            <w:tcW w:w="2960" w:type="dxa"/>
            <w:vAlign w:val="bottom"/>
            <w:tcBorders>
              <w:bottom w:val="single" w:sz="8" w:color="CCEEFF"/>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Keystone, CO</w:t>
            </w:r>
          </w:p>
        </w:tc>
        <w:tc>
          <w:tcPr>
            <w:tcW w:w="2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Manage</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103</w:t>
            </w: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Grand Summit Hotel</w:t>
            </w:r>
          </w:p>
        </w:tc>
        <w:tc>
          <w:tcPr>
            <w:tcW w:w="29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Park City, UT</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282</w:t>
            </w:r>
          </w:p>
        </w:tc>
      </w:tr>
      <w:tr>
        <w:trPr>
          <w:trHeight w:val="27"/>
        </w:trPr>
        <w:tc>
          <w:tcPr>
            <w:tcW w:w="40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Silverado Lodge</w:t>
            </w:r>
          </w:p>
        </w:tc>
        <w:tc>
          <w:tcPr>
            <w:tcW w:w="2960" w:type="dxa"/>
            <w:vAlign w:val="bottom"/>
            <w:tcBorders>
              <w:bottom w:val="single" w:sz="8" w:color="CCEEFF"/>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8"/>
              </w:rPr>
              <w:t>Park City, UT</w:t>
            </w:r>
          </w:p>
        </w:tc>
        <w:tc>
          <w:tcPr>
            <w:tcW w:w="2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Manage</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141</w:t>
            </w: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Sundial Lodge</w:t>
            </w:r>
          </w:p>
        </w:tc>
        <w:tc>
          <w:tcPr>
            <w:tcW w:w="29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Park City, UT</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116</w:t>
            </w:r>
          </w:p>
        </w:tc>
      </w:tr>
      <w:tr>
        <w:trPr>
          <w:trHeight w:val="27"/>
        </w:trPr>
        <w:tc>
          <w:tcPr>
            <w:tcW w:w="40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DoubleTree by Hilton Park City - The Yarrow</w:t>
            </w:r>
          </w:p>
        </w:tc>
        <w:tc>
          <w:tcPr>
            <w:tcW w:w="2960" w:type="dxa"/>
            <w:vAlign w:val="bottom"/>
            <w:tcBorders>
              <w:bottom w:val="single" w:sz="8" w:color="CCEEFF"/>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8"/>
              </w:rPr>
              <w:t>Park City, UT</w:t>
            </w:r>
          </w:p>
        </w:tc>
        <w:tc>
          <w:tcPr>
            <w:tcW w:w="2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Manage</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182</w:t>
            </w: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Jackson Lake Lodge</w:t>
            </w:r>
          </w:p>
        </w:tc>
        <w:tc>
          <w:tcPr>
            <w:tcW w:w="29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Grand Teton Nat’l Pk., WY</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Concessionaire Contract</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385</w:t>
            </w:r>
          </w:p>
        </w:tc>
      </w:tr>
      <w:tr>
        <w:trPr>
          <w:trHeight w:val="27"/>
        </w:trPr>
        <w:tc>
          <w:tcPr>
            <w:tcW w:w="40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Colter Bay Village</w:t>
            </w:r>
          </w:p>
        </w:tc>
        <w:tc>
          <w:tcPr>
            <w:tcW w:w="2960" w:type="dxa"/>
            <w:vAlign w:val="bottom"/>
            <w:tcBorders>
              <w:bottom w:val="single" w:sz="8" w:color="CCEEFF"/>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Grand Teton Nat’l Pk., WY</w:t>
            </w:r>
          </w:p>
        </w:tc>
        <w:tc>
          <w:tcPr>
            <w:tcW w:w="2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Concessionaire Contract</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166</w:t>
            </w: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Jenny Lake Lodge</w:t>
            </w:r>
          </w:p>
        </w:tc>
        <w:tc>
          <w:tcPr>
            <w:tcW w:w="29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Grand Teton Nat’l Pk., WY</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Concessionaire Contract</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7"/>
        </w:trPr>
        <w:tc>
          <w:tcPr>
            <w:tcW w:w="40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3"/>
        </w:trPr>
        <w:tc>
          <w:tcPr>
            <w:tcW w:w="4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Headwaters Lodge &amp; Cabins at Flagg Ranch</w:t>
            </w:r>
          </w:p>
        </w:tc>
        <w:tc>
          <w:tcPr>
            <w:tcW w:w="296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Moran, WY</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Concessionaire Contract</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92</w:t>
            </w:r>
          </w:p>
        </w:tc>
      </w:tr>
      <w:tr>
        <w:trPr>
          <w:trHeight w:val="27"/>
        </w:trPr>
        <w:tc>
          <w:tcPr>
            <w:tcW w:w="404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03199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1990" cy="171450"/>
                    </a:xfrm>
                    <a:prstGeom prst="rect">
                      <a:avLst/>
                    </a:prstGeom>
                    <a:noFill/>
                  </pic:spPr>
                </pic:pic>
              </a:graphicData>
            </a:graphic>
          </wp:anchor>
        </w:drawing>
      </w:r>
    </w:p>
    <w:p>
      <w:pPr>
        <w:spacing w:after="0" w:line="205" w:lineRule="exact"/>
        <w:rPr>
          <w:sz w:val="20"/>
          <w:szCs w:val="20"/>
          <w:color w:val="auto"/>
        </w:rPr>
      </w:pPr>
    </w:p>
    <w:p>
      <w:pPr>
        <w:ind w:left="300" w:hanging="265"/>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Rooms/Units excludes approximately 1,800 managed condominium units.</w:t>
      </w:r>
    </w:p>
    <w:p>
      <w:pPr>
        <w:spacing w:after="0" w:line="63" w:lineRule="exact"/>
        <w:rPr>
          <w:rFonts w:ascii="Times New Roman" w:cs="Times New Roman" w:eastAsia="Times New Roman" w:hAnsi="Times New Roman"/>
          <w:sz w:val="18"/>
          <w:szCs w:val="18"/>
          <w:color w:val="auto"/>
        </w:rPr>
      </w:pPr>
    </w:p>
    <w:p>
      <w:pPr>
        <w:ind w:left="300" w:hanging="265"/>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individual owner units that are in a rental program managed by us.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lodging strategy seeks to complement and enhance our mountain resort operations through our ownership or management of lodging properties and condominiums proximate to our mountain resorts and selective management of luxury resorts in premier destination locations.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our portfolio of owned or managed luxury resort hotels and other hotels and properties, our lodging business also features a Colorado ground transportation company, CME, which represents the first point of contact with many of our guests when they arrive by air to Colorado. CME offers year-round ground transportation from Denver International Airport and Eagle County Airport to the Vail Valley (locations in and around Vail, Beaver Creek, Avon and Edwards), Aspen (locations in and around Aspen and Snowmass) and Summit County (which includes Keystone, Breckenridge, Copper Mountain, Frisco and Silverthorne). CME offers four primary types of services: door-to-door shuttle business; point-to-point shuttle business with centralized drop-off at transportation hubs; private chartered vans; and premier luxury charter vehicles.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012"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u w:val="single" w:color="auto"/>
          <w:color w:val="auto"/>
        </w:rPr>
        <w:t>Lodging Industry/Market</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Hotels are categorized by Smith Travel Research, a leading lodging industry research firm, as luxury, upper upscale, upscale, mid-price and economy. The service quality and level of accommodations of our RockResorts’ hotels place them in the luxury segment, which represents hotels achieving the highest average daily rates (“ADR”) in the industry, and includes such brands as the Four Seasons, Ritz-Carlton and Starwood’s Luxury Collection hotels. Our other hotels are categorized in the upper upscale and upscale segments of the hotel market. The luxury and upper upscale segments consist of approximately 715,000 rooms at approximately 2,100 properties in the U.S. as of July 2017. For Fiscal 2017, our owned hotels, which include a combination of certain RockResort hotels as well as other hotels in proximity to our mountain resorts, had an overall ADR of $245.31, a paid occupancy rate of 68.5% and revenue per available room (“RevPAR”) of $168.14, as compared to the upper upscale segment’s ADR of $181.17, a paid occupancy rate of 74.1% and RevPAR of $134.30. We believe that this comparison to the upper upscale segment is appropriate as our mix of owned hotels include those in the luxury and upper upscale segments, as well as certain of our hotels that fall in the upscale segment. The highly seasonal nature of our lodging properties generally results in lower average occupancy as compared to the upper upscale segment of the lodging industry as a whole.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Competition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Competition in the hotel industry is generally based on quality and consistency of rooms, restaurants, meeting facilities and services, the attractiveness of locations, availability of a global distribution system and price. Our properties compete within their geographic markets with hotels and resorts that include locally-owned independent hotels, as well as facilities owned or managed by national and international chains, including such brands as Four Seasons, Hilton, Hyatt, Marriott, Ritz-Carlton, Starwood’s Luxury Collection and Westin. Our properties also compete for convention and conference business across the national market. We believe we are highly competitive in the resort hotel niche for the following reasons:</w:t>
      </w:r>
    </w:p>
    <w:p>
      <w:pPr>
        <w:spacing w:after="0" w:line="76"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hotels are located in unique highly desirable resort destinations;</w:t>
      </w:r>
    </w:p>
    <w:p>
      <w:pPr>
        <w:spacing w:after="0" w:line="27"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hotel portfolio has achieved some of the most prestigious hotel designations in the world, including two properties in our portfolio that are currently rated as AAA 4-Diamond;</w:t>
      </w:r>
    </w:p>
    <w:p>
      <w:pPr>
        <w:ind w:left="980" w:hanging="324"/>
        <w:spacing w:after="0" w:line="250"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hotels (both owned and managed) are designed to provide a look that feels indigenous to their surroundings, enhancing the guest’s vacation experience;</w:t>
      </w:r>
    </w:p>
    <w:p>
      <w:pPr>
        <w:jc w:val="both"/>
        <w:ind w:left="980" w:hanging="324"/>
        <w:spacing w:after="0" w:line="250"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our RockResorts hotels provides the same high level of quality and services, while still providing unique characteristics which distinguish the resorts from one another. This appeals to travelers looking for consistency in quality and service offerings together with an experience more unique than typically offered by larger luxury hotel chains, which has resulted in all five of our RockResort properties being recognized with the </w:t>
      </w:r>
      <w:r>
        <w:rPr>
          <w:rFonts w:ascii="Times New Roman" w:cs="Times New Roman" w:eastAsia="Times New Roman" w:hAnsi="Times New Roman"/>
          <w:sz w:val="18"/>
          <w:szCs w:val="18"/>
          <w:i w:val="1"/>
          <w:iCs w:val="1"/>
          <w:color w:val="auto"/>
        </w:rPr>
        <w:t>TripAdvisor</w:t>
      </w:r>
      <w:r>
        <w:rPr>
          <w:rFonts w:ascii="Times New Roman" w:cs="Times New Roman" w:eastAsia="Times New Roman" w:hAnsi="Times New Roman"/>
          <w:sz w:val="18"/>
          <w:szCs w:val="18"/>
          <w:color w:val="auto"/>
        </w:rPr>
        <w:t xml:space="preserve"> Certificate of Excellence in recent years;</w:t>
      </w:r>
    </w:p>
    <w:p>
      <w:pPr>
        <w:spacing w:after="0" w:line="1"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the hotels in our portfolio provide a wide array of amenities available to the guest such as access to world-class ski and golf resorts, spa and fitness facilities, water sports and a number of other outdoor activities, as well as highly acclaimed dining options;</w:t>
      </w:r>
    </w:p>
    <w:p>
      <w:pPr>
        <w:jc w:val="both"/>
        <w:ind w:left="980" w:hanging="324"/>
        <w:spacing w:after="0" w:line="250"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Conference space with the latest technology is available at most of our hotels. In addition, guests at Keystone can use our company-owned Keystone Conference Center, the largest conference facility in the Colorado Rocky Mountain region with more than 100,000 square feet of meeting, exhibit and function space;</w:t>
      </w:r>
    </w:p>
    <w:p>
      <w:pPr>
        <w:spacing w:after="0" w:line="1"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central reservations system that leverages off of our mountain resort reservations system and has an online planning and booking platform, offering our guests a seamless and useful way to make reservations at our resorts; and</w:t>
      </w:r>
    </w:p>
    <w:p>
      <w:pPr>
        <w:jc w:val="both"/>
        <w:ind w:left="980" w:hanging="324"/>
        <w:spacing w:after="0" w:line="253"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actively upgrade the quality of the accommodations and amenities available at our hotels through capital improvements. Capital funding for third-party owned properties is provided by the owners of those properties to maintain standards required by our management contracts. Projects at our owned properties completed over the past several years include extensive refurbishments and upgrades to the Colter Bay Village Cabins, DoubleTree by Hilton Breckenridge, and The Lodge at Vail. Additionally, we have completed guest room renovations at the Keystone Lodge and The Pines Lodge, and a restaurant renovation at The Arrabelle at Vail Square.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National Park Concessionaire Properties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own GTLC, which is based in the Jackson Hole area in Wyoming and operates within Grand Teton National Park under a 15-year concessionaire agreement with the NPS that expires December 31, 2021. We also own Flagg Ranch, located in Moran, Wyoming and is centrally located between Yellowstone National Park and Grand Teton National Park on the John D. Rockefeller, Jr. Memorial Parkway (the “Parkway”). Flagg Ranch operates under a 15-year concessionaire agreement with the NPS that expires October 31, 2026. GTLC also owns Jackson Hole Golf &amp; Tennis Club (“JHG&amp;TC”), located outside Grand Teton National Park near Jackson, Wyoming. GTLC’s operations within Grand Teton National Park and JHG&amp;TC have operating seasons that generally run from June through the end of September.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011" w:right="239" w:bottom="1440" w:gutter="0" w:footer="0" w:header="0"/>
        </w:sectPr>
      </w:pPr>
    </w:p>
    <w:bookmarkStart w:id="13" w:name="page14"/>
    <w:bookmarkEnd w:id="13"/>
    <w:p>
      <w:pPr>
        <w:jc w:val="both"/>
        <w:spacing w:after="0" w:line="252" w:lineRule="auto"/>
        <w:rPr>
          <w:sz w:val="20"/>
          <w:szCs w:val="20"/>
          <w:color w:val="auto"/>
        </w:rPr>
      </w:pPr>
      <w:r>
        <w:rPr>
          <w:rFonts w:ascii="Times New Roman" w:cs="Times New Roman" w:eastAsia="Times New Roman" w:hAnsi="Times New Roman"/>
          <w:sz w:val="18"/>
          <w:szCs w:val="18"/>
          <w:color w:val="auto"/>
        </w:rPr>
        <w:t>There are 417 areas within the National Park System covering approximately 84 million acres across the U.S. and its territories. Of the 417 areas, 59 are classified as National Parks. While there are more than 500 NPS concessionaires, ranging from small, privately-held businesses to large corporate conglomerates, we primarily compete with such companies as Aramark Parks &amp; Resorts, Delaware North Companies Parks &amp; Resorts, Forever Resorts and Xanterra Parks &amp; Resorts in retaining and obtaining NPS concessionaire agreements. The NPS uses “recreation visits” to measure visitation within the National Park System. In calendar year 2016, areas designated as National Parks received approximately 82.9 million recreation visits. Grand Teton National Park, which spans approximately 310,000 acres, had approximately 3.3 million recreation visits during calendar year 2016, or approximately 4.0% of total National Park recreation visits. Four full-service concessionaires provide accommodations within Grand Teton National Park, including GTLC. GTLC offers three lodging options within Grand Teton National Park: Jackson Lake Lodge, a full-service, 385-room resort with 17,000 square feet of conference facilities which can accommodate up to 600 people; Jenny Lake Lodge, a small, rustically elegant retreat with 37 cabins; and Colter Bay Village, a facility with 166 log cabins, 66 tent cabins, 337 campsites and a 112-space RV park. GTLC offers dining options as extensive as its lodging options, with cafeterias, casual eateries and fine dining establishments. GTLC’s resorts provide a wide range of activities for guests to enjoy, including cruises on Jackson Lake, boat rentals, horseback riding, guided fishing, float trips, golf and guided Grand Teton National Park tours. As a result of the extensive amenities offered, as well as the tremendous popularity of the National Park System, GTLC’s accommodations within Grand Teton National Park operate near full capacity during their operating season.</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Flagg Ranch features a range of lodging options from 92 standard, deluxe and premium cabins and 40 camper cabins, to a 97-space RV park and 34 campsites. Flagg Ranch also offers additional amenities including dining, retail and activities for our guests to enjoy, including horseback riding, guided fishing, float trips and guided Yellowstone National Park and Grand Teton National Park tours. In addition to these summer offerings, Flagg Ranch provides limited winter operations to support Yellowstone National Park snowmobile tours.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Segment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extensive holdings of real property at our mountain resorts primarily throughout Summit and Eagle Counties in Colorado. Our real estate operations, through Vail Resorts Development Company (“VRDC”), a wholly-owned subsidiary, include planning, oversight, infrastructure improvement, development, marketing and sale of our real property holdings. In addition to the cash flow generated from real estate development sales, these development activities benefit our Mountain and Lodging segments by (1) creating additional resort lodging and other resort related facilities and venues (primarily restaurants, spas, commercial space, private mountain clubs, skier services facilities and parking structures) that provide us with the opportunity to create new sources of recurring revenue, enhance the guest experience and expand our destination bed base; (2) controlling the architectural themes of our resorts; and (3) expanding our property management and commercial leasing operations.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principal activities of our Real Estate segment include the sale of land parcels to third-party developers; the marketing and selling of remaining condominium units available for sale at the Ritz-Carlton Residences, Vail and One Ski Hill Place in Breckenridge, of which both projects had sold-out of available units as of July 31, 2017;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We believe that, due to the location of our real estate land investments, we are well situated to promote future projects with third-party developers while limiting our financial risk.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Sales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Mountain segment’s marketing and sales efforts are increasingly oriented around data analytics to drive targeted and personalized marketing to our existing and prospective guests. We capture guest data on the vast majority of guest transactions through our season pass program, e-commerce platforms including mobile lift ticket sales, the EpicMix application and operational processes at our lift ticket windows. We promote our resorts through customer relationship marketing to targeted audiences via email and direct mail, promotional programs, digital marketing (including social, search and display) and traditional media advertising where appropriate (e.g. targeted print, TV, radio). We also have marketing programs directed at attracting groups, corporate meetings and convention business. Most marketing efforts drive traffic to our websites, where we provide our guests with information regarding each of our resorts, including services and amenities, reservations information, virtual tours and the opportunity to book/purchase multiple products for their vacations or other visits. We also enter into strategic alliances with companies to enhance the guest in-resort experience and to create opportunities for cross-marketing.</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013" w:right="239" w:bottom="1440" w:gutter="0" w:footer="0" w:header="0"/>
        </w:sectPr>
      </w:pPr>
    </w:p>
    <w:bookmarkStart w:id="14" w:name="page15"/>
    <w:bookmarkEnd w:id="14"/>
    <w:p>
      <w:pPr>
        <w:jc w:val="both"/>
        <w:spacing w:after="0" w:line="255" w:lineRule="auto"/>
        <w:rPr>
          <w:sz w:val="20"/>
          <w:szCs w:val="20"/>
          <w:color w:val="auto"/>
        </w:rPr>
      </w:pPr>
      <w:r>
        <w:rPr>
          <w:rFonts w:ascii="Times New Roman" w:cs="Times New Roman" w:eastAsia="Times New Roman" w:hAnsi="Times New Roman"/>
          <w:sz w:val="18"/>
          <w:szCs w:val="18"/>
          <w:color w:val="auto"/>
        </w:rPr>
        <w:t>For our Lodging segment, we promote our hotels and lodging properties through marketing and sales programs, which include marketing directly to many of our guests through our digital channels (search, social and display), promotional programs and print media advertising. We also promote comprehensive vacation experiences through various package offerings and promotions (combining lodging, lift tickets, ski school lessons, ski rental equipment, transportation and dining), all of which are designed to drive traffic to our websites and central reservations call center. Sales made through our websites and call center allow us to transact directly with our guests, enabling us to further expand our customer base for future analytics and marketing. Where appropriate, we market our resort properties in conjunction with our mountain resort marketing efforts. Additionally, our individual hotels have active sales forces to generate conference and group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Ski resort operations are highly seasonal in nature, with a typical ski season in North America generally beginning in mid-November and running through mid-April. In an effort to partially mitigate the concentration of our revenue in the winter months in North America, we offer several non-ski related activities in the summer months such as sightseeing, mountain biking, guided hiking, 4x4 Jeep tours, golf (included in the operations of the Lodging segment) and our Epic Discovery program. These activities also help attract destination conference and group business to our resorts in our off-season. In addition, the operating results of Perisher, with its ski season from June through early October, partially counterbalance the concentration of our revenues during this seasonally low period.</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lodging business is also highly seasonal in nature, with peak seasons primarily in the winter months (with the exception of GTLC, Flagg Ranch, certain managed properties and mountain resort golf operations). We actively promote our extensive conference facilities and have added more off-season activities to help offset the seasonality of our lodging business. Additionally, we operate eight golf courses: The Canyons Golf Course at Park City, The Beaver Creek Golf Club, The Keystone Ranch Golf Course, The River Course at Keystone, JHG&amp;TC near Jackson, Wyoming, The Northstar Resort Golf Course and the Tom Fazio and Greg Norman courses at Red Sky Ranch near the Beaver Creek Resort.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Stewardship and Social Responsibility</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Environmental stewardship is a core philosophy for us. Our resorts operate in some of the world’s greatest natural environments, and we are compelled to care for and conserve them. Through our sustainability program, Epic Promise, we focus on resource conservation, forest health and building stronger local communities through contributions to local non-profits. Our environmental stewardship efforts are diverse and touch nearly every area of our operations. In 2017, we launched Epic Promise for a Zero Footprint and committed to a net zero operating footprint by 2030. This commitment includes achieving zero net emissions by finding operational energy efficiencies and investing in renewable energy, zero waste to landfill by diverting 100 percent of waste from our operations and zero net operating impact to forests and wildlife habitat by restoring an acre of forest for every acre displaced by our operations. As a result of this new commitment, Vail Resorts was accepted as the first travel and tourism company into the RE100, a collaborative initiative uniting 102 global, influential businesses committed to 100 percent renewable electricity. In addition, we have partnered with several organizations to help raise resources for local environmental programs, including The Nature Conservancy, the National Forest Foundation, The Tahoe Fund, Mountain Trails Foundation in Park City and the EnviroFund at Whistler Blackcomb. We encourage our employees to help protect the environment and support their local community with over 20,000 volunteer hours donated annually. Our charitable giving focuses on supporting education and youth programs, encouraging innovation in, and implementation of, environmental stewardship practices and enhancing the quality of life in the communities in which we operate.</w:t>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Finally, our EpicPromise Foundation (the “Foundation”), which was established in 2015, is a private charitable foundation funded by annual contributions from the Company and its employees. The Foundation supports all Vail Resorts’ employees and their families via grants for emergency relief and scholarships. For more information, visit www.EpicPromise.com. Information on our websites does not constitute part of this document.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fiscal year end, we employed approximately 5,900 year-round employees. During the height of our operating seasons, we employ approximately 27,600 additional seasonal employees. In addition, we employ approximately 400 year-round employees and 100 seasonal employees on behalf of the owners of our managed hotel properties. We consider our employee relations to be good.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29"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development of intellectual property is part of our overall business strategy, and we regard our intellectual property as an important element of our success. Accordingly, we protect our intellectual property rights and seek to protect against its unauthorized use through international, national and state laws and common law rights. We file applications for and obtain trademark registrations and have filed for patents to protect inventions and will continue to do so where appropriate. We also seek to maintain our trade secrets and confidential information by nondisclosure policies and through the use of appropriate confidentiality agreements and contractual provisions.</w:t>
      </w:r>
    </w:p>
    <w:p>
      <w:pPr>
        <w:spacing w:after="0" w:line="18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 xml:space="preserve">In the highly competitive industry in which we operate, trademarks, service marks, trade names and logos are very important in the sales and marketing of our mountain resorts and urban ski areas, lodging properties and services. We seek to register and protect our trademarks, service marks, trade names and logos and have obtained a significant number of registrations for those trademarks, which we believe have become synonymous in the travel and leisure industry with a reputation for excellence in service and authentic hospitality. Among other national and international trademark registrations, the Company owns U.S. federal registrations for </w:t>
      </w:r>
      <w:r>
        <w:rPr>
          <w:rFonts w:ascii="Times New Roman" w:cs="Times New Roman" w:eastAsia="Times New Roman" w:hAnsi="Times New Roman"/>
          <w:sz w:val="18"/>
          <w:szCs w:val="18"/>
          <w:i w:val="1"/>
          <w:iCs w:val="1"/>
          <w:color w:val="auto"/>
        </w:rPr>
        <w:t>Epic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Epic Pass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Vail Resorts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Vail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Beaver Creek</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Breckenridge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Heavenly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The Company also owns Canadian and U.S. trademark registrations for the </w:t>
      </w:r>
      <w:r>
        <w:rPr>
          <w:rFonts w:ascii="Times New Roman" w:cs="Times New Roman" w:eastAsia="Times New Roman" w:hAnsi="Times New Roman"/>
          <w:sz w:val="18"/>
          <w:szCs w:val="18"/>
          <w:i w:val="1"/>
          <w:iCs w:val="1"/>
          <w:color w:val="auto"/>
        </w:rPr>
        <w:t>Whistler Blackcomb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name and logo. The Company licenses the right to use the federally registered trademark </w:t>
      </w:r>
      <w:r>
        <w:rPr>
          <w:rFonts w:ascii="Times New Roman" w:cs="Times New Roman" w:eastAsia="Times New Roman" w:hAnsi="Times New Roman"/>
          <w:sz w:val="18"/>
          <w:szCs w:val="18"/>
          <w:i w:val="1"/>
          <w:iCs w:val="1"/>
          <w:color w:val="auto"/>
        </w:rPr>
        <w:t>Northstar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California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CLP Northstar,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Legislation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 Forest Service Resorts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Regulation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operations of Breckenridge, Vail Mountain, Keystone, Beaver Creek, Heavenly and Kirkwood are conducted primarily on land under the jurisdiction of the Forest Service (collectively, the “Forest Service Resorts”). The 1986 Ski Area Permit Act (the “1986 Act”) allows the Forest Service to grant Term Special Use Permits (each, a “SUP”) for the operation of ski areas and construction of related facilities on National Forest lands. In November 2011, the 1986 Act was amended by the Ski Area Recreational Opportunity Enhancement Act (the “Enhancement Act”) to clarify the Forest Service’s authority to approve facilities primarily for year-round recreation. Under the 1986 Act, the Forest Service has the authority to review and approve the location, design and construction of improvements in the permit area and many operational matters.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individual national forest is required by the National Forest Management Act to develop and maintain a Land and Resource Management Plan (a “Forest Plan”), which establishes standards and guidelines for the Forest Service to follow and consider in reviewing and approving our proposed actions.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Use Permits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Forest Service Resorts operates under a SUP, and the acreage and expiration date information for each SUP is as follows:</w:t>
      </w:r>
    </w:p>
    <w:p>
      <w:pPr>
        <w:spacing w:after="0" w:line="289" w:lineRule="exact"/>
        <w:rPr>
          <w:sz w:val="20"/>
          <w:szCs w:val="20"/>
          <w:color w:val="auto"/>
        </w:rPr>
      </w:pPr>
    </w:p>
    <w:tbl>
      <w:tblPr>
        <w:tblLayout w:type="fixed"/>
        <w:tblInd w:w="2960" w:type="dxa"/>
        <w:tblCellMar>
          <w:top w:w="0" w:type="dxa"/>
          <w:left w:w="0" w:type="dxa"/>
          <w:bottom w:w="0" w:type="dxa"/>
          <w:right w:w="0" w:type="dxa"/>
        </w:tblCellMar>
      </w:tblPr>
      <w:tr>
        <w:trPr>
          <w:trHeight w:val="238"/>
        </w:trPr>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Forest Service Resort</w:t>
            </w: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Acres</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r>
      <w:tr>
        <w:trPr>
          <w:trHeight w:val="27"/>
        </w:trPr>
        <w:tc>
          <w:tcPr>
            <w:tcW w:w="2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2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Breckenridge</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5,702</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31, 2029</w:t>
            </w:r>
          </w:p>
        </w:tc>
      </w:tr>
      <w:tr>
        <w:trPr>
          <w:trHeight w:val="243"/>
        </w:trPr>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Vail Mountain</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12,353</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1, 2031</w:t>
            </w:r>
          </w:p>
        </w:tc>
      </w:tr>
      <w:tr>
        <w:trPr>
          <w:trHeight w:val="27"/>
        </w:trPr>
        <w:tc>
          <w:tcPr>
            <w:tcW w:w="2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2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Keystone</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8,376</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31, 2032</w:t>
            </w:r>
          </w:p>
        </w:tc>
      </w:tr>
      <w:tr>
        <w:trPr>
          <w:trHeight w:val="243"/>
        </w:trPr>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Beaver Creek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3,849</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8, 2039</w:t>
            </w:r>
          </w:p>
        </w:tc>
      </w:tr>
      <w:tr>
        <w:trPr>
          <w:trHeight w:val="27"/>
        </w:trPr>
        <w:tc>
          <w:tcPr>
            <w:tcW w:w="2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2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Heavenly</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7,050</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1, 2042</w:t>
            </w:r>
          </w:p>
        </w:tc>
      </w:tr>
      <w:tr>
        <w:trPr>
          <w:trHeight w:val="243"/>
        </w:trPr>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Kirkwood</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2,330</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2052</w:t>
            </w: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anticipate requesting a new SUP for each Forest Service Resort prior to its expiration date as provided by Forest Service regulations and the terms of each existing SUP. We are not aware of the Forest Service refusing to issue a new SUP to replace an expiring SUP for a ski resort in operation at the time of expiration. The Forest Service can also terminate a SUP if it determines that termination is required in the public interest. However, to our knowledge, no SUP has ever been terminated by the Forest Service over the opposition of the permit holder.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SUP contains a number of requirements, including indemnifying the Forest Service from third-party claims arising out of our operation under the SUP and compliance with applicable laws, such as those relating to water quality and endangered 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009" w:right="239" w:bottom="1440" w:gutter="0" w:footer="0" w:header="0"/>
        </w:sectPr>
      </w:pPr>
    </w:p>
    <w:bookmarkStart w:id="16" w:name="page17"/>
    <w:bookmarkEnd w:id="16"/>
    <w:p>
      <w:pPr>
        <w:jc w:val="both"/>
        <w:spacing w:after="0" w:line="266" w:lineRule="auto"/>
        <w:rPr>
          <w:sz w:val="20"/>
          <w:szCs w:val="20"/>
          <w:color w:val="auto"/>
        </w:rPr>
      </w:pPr>
      <w:r>
        <w:rPr>
          <w:rFonts w:ascii="Times New Roman" w:cs="Times New Roman" w:eastAsia="Times New Roman" w:hAnsi="Times New Roman"/>
          <w:sz w:val="18"/>
          <w:szCs w:val="18"/>
          <w:color w:val="auto"/>
        </w:rPr>
        <w:t>threatened species. For use of the land authorized by the SUPs, we pay a fee to the Forest Service ranging from 1.5% to 4.0% of adjusted gross revenue for activities authorized by the SUPs. Included in the calculation are sales from, among other things, lift tickets, season passes, ski school lessons, food and beverage, certain summer activities, equipment rentals and retail merchandise.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SUPs may be revised or amended to accommodate changes initiated by us or by the Forest Service to change the permit area or permitted uses. The Forest Service may amend a SUP if it determines that such amendment is in the public interest. While the Forest Service is required to seek the permit holder’s consent to any amendment, an amendment can be finalized over a permit holder’s objection. Permit amendments must be consistent with the Forest Plan and are subject to the provisions of the National Environmental Policy Act (“NEPA”), both of which are discussed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Master Development Plans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1986 Act requires a Master Development Plan (“MDP”) for each ski area that is granted a SUP, and all improvements that we propose to make on National Forest System lands under any of our SUPs must be included in a MDP. MDPs describe the existing and proposed facilities, developments and area of activity within the permit area. We prepare MDPs, which set forth a conceptual overview of all potential projects at each resort. The MDPs are reviewed by the Forest Service for compliance with the Forest Plan and other applicable laws and, if found to be compliant, are accepted by the Forest Service. Notwithstanding acceptance by the Forest Service of the conceptual MDPs, individual projects still require separate applications and compliance with NEPA and other applicable laws before the Forest Service will approve such projects. We update or amend our MDPs for our Forest Service Resorts from time to time. Recent amendments to our MDP have enabled Forest Service approval for our expanding four season recreation activities. For example, at Breckenridge Ski Resort, we obtained Forest Service approval to begin construction and operation of our Epic Discovery commencing in Summer 2017, and we have constructed a zip line, ropes course, climbing wall, hiking and environmental interpretive trails, as well as an observation tower.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Forest Plans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Operational and development activities on National Forest System lands at our four Colorado mountain resorts are subject to the additional regulatory and planning requirements set forth in the April 2002 Record of Decision (the “2002 ROD”) for the White River National Forest Land and Resources Management Plan (the “White River Forest Plan”). At Heavenly, operational and development activities on National Forest System lands are subject to the Lake Tahoe Basin Management Unit (“LTBMU”) Land and Resources Management Plan, which was adopted in 1988 (the “1988 Plan”). We have been working with the LTBMU for the past several years as it revises the 1988 Plan. That process was concluded this year and a new plan became effective in August of 2016. At Kirkwood, operational and development activities on National Forest System lands are subject to the Eldorado National Forest Land and Resources Management Plan, which was adopted in 1989. When approving our application for development, area expansion or other activities on National Forest System lands, the Forest Service must adhere to the applicable Forest Plan. Any such decision may be subject to judicial review in federal court if a party, with standing, challenges a Forest Service decision that applies the requirements of a Forest Plan at one of our Forest Service Resorts.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Private Land Resorts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operations of Park City, Northstar, Afton Alps, Mt. Brighton and Wilmot are conducted primarily on private land and are not under the jurisdiction of the Forest Service (collectively, the “Private Land Resorts”). While Beaver Creek also operates on Forest Service land, a significant portion of the skiable terrain, primarily in the lower main mountain, Western Hillside, Bachelor Gulch and Arrowhead Mountain areas, is located on land that we own.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not governed by federal regulation, the Private Land Resorts may be governed by local laws and regulations. For example, specific projects and master development plans at Northstar require approval by Placer County, California, and site specific projects at Wilmot Mountain are approved by local townships and Kenosha County, Wisconsin pursuant to a conditional use permit and other operational licenses. Additionally, a portion of Park City is part of the Canyons Specially Planned Area (“SPA”) pursuant to a Summit County, Utah ordinance adopted in 1998, and a Development Agreement and Master Development Plan with affected property owners, developers and the county, the most recent versions of which were adopted in 1999. Other land use within the SPA is within the jurisdiction of Summit County, Utah. Land use at Park City is within the jurisdiction of Summit County, Utah and Park City Municipal Corporation. The portions of the resort located within Park City Municipal Corporation are subject to a Development Agreement with the municipality, the most recent version of which was entered into in 1998.</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Whistler Blackcomb</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Whistler Blackcomb Resort is made up of two mountains: Whistler Mountain and Blackcomb Mountain. Whistler Mountain and Blackcomb Mountain are located on Crown Land within the traditional territory of the Squamish and Lil’wat Nations.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013" w:right="239" w:bottom="1440" w:gutter="0" w:footer="0" w:header="0"/>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8"/>
          <w:szCs w:val="18"/>
          <w:color w:val="auto"/>
        </w:rPr>
        <w:t>relationship between Whistler Blackcomb and Her Majesty, the Queen in Right of British Columbia (the “Province”) is largely governed by Master Development Agreements (the “MDAs”) between the Province and Whistler Mountain Resort Limited Partnership (“Whistler LP”) with respect to Whistler Mountain, and between the Province and Blackcomb Skiing Enterprises Limited Partnership (“Blackcomb LP”) with respect to Blackcomb Mountain. Together, Whistler LP and Blackcomb LP are referred to as the “Partnerships.”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MDAs, which were entered into in February 2017, have a term of 60 years (expiring on February 23, 2077) and are replaceable for an additional 60 years by option exercisable by the Partnerships after the first 30 years of the initial term. In accordance with the MDAs, the Partnerships are obligated to pay annual fees to the Province at a rate of 2.0% of gross revenues related to the operation of certain activities at Whistler Blackcomb.</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MDAs require that each of the mountains be developed, operated and maintained in accordance with its respective master plan, which contains requirements as to matters such as trail design and development, passenger lift development and environmental concerns. The MDAs grant a general license to use the Whistler Mountain lands and the Blackcomb Mountain lands for the operation and development of the Whistler Blackcomb Resort. The MDAs also provide for the granting of specific tenures of land owned by the Province to the Whistler LP or the Blackcomb LP, as applicable, by way of rights-of-way, leases or licenses. Each Partnership is permitted to develop new improvements to Whistler Mountain or Blackcomb Mountain, as the case may be, within standard municipal type development control conditions. We are obligated to indemnify the Province from third-party claims arising out of our operations under the MDAs.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Stowe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Stowe operates on land that we own as well as land we lease from the State of Vermont. The land we own is on the Spruce Peak side of the resort while the land we lease from the State is located on Mt. Mansfield in the Mt. Mansfield State Forest. The initial ten year term of the lease commenced in June 1967, and the lease provides for eight separate ten year extension options. The current term of the lease extends through June 2027, and there are three remaining ten year extension options. The land can be used for the development and operation of a ski area including ski trails, ski lifts, warming shelters, restaurants and maintenance facilities. For use of the land under the lease, we pay a fee to the State of Vermont based on revenue for activities authorized by the lease, such as lift tickets, season passes, food and beverage, summer activities and retail merchandise. We are obligated to indemnify the State of Vermont from third-party claims arising out of our operations under the lease.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Perisher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Perisher is located in the Kosciuszko National Park, the largest national park in New South Wales, Australia. The resort includes four villages (Perisher Valley, Smiggin Holes, Guthega and Blue Cow) and their associated ski fields, as well as the site of the Skitube Alpine Railway at Bullock’s Flat, which is accredited in accordance with the Rail Safety National Law (NSW) No.82a. The Office of Environment and Heritage (“OEH”), an agency of the New South Wales government, which is part of the Department of Planning and Environment, is responsible for the protection and conservation of the Kosciuszko National Park. The National Parks and Wildlife Act 1974 (NSW) (“NPW Act”) establishes the National Parks and Wildlife Service and is responsible for the control and management of the Kosciusko National Park.</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NPW Act requires the Kosciuszko National Park to be managed in accordance with the principles specified in that legislation, including the provision for sustainable visitor or tourist use and enjoyment that is compatible with the conservation of the national park’s natural and cultural values. The legislation also authorizes the Minister for the Environment and the Minister for Heritage (the “Minister”) to grant leases and licenses of land within the Kosciuszko National Park for various purposes, including for purposes related to sustainable visitor or tourist use and enjoyment. Under this power, the Minister has granted to Perisher a lease and a license of specified land within the Kosciusko National Park until June 30, 2048, each with an option to renew for an additional period of 20 years. The Minister has also granted Perisher a lease of the parking lot at Perisher Valley that expires on December 31, 2025. Subject to certain conditions being met, the lease for the Perisher Valley parking lot can be extended until June 30, 2048, with an option to renew for a further 20 years. The lease and license provide for the payment of a minimum annual base rent with periodic increases in base rent over the term, turnover rent payments based on 2.0% of certain gross revenue, remittance of park user fees and certain other charges, also subject to periodic increases over the term.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Concessionaire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GTLC operates three lodging properties, food and beverage services, retail, camping and other services within the Grand Teton National Park under a concessionaire agreement with the NPS. Our concessionaire agreement with the NPS for GTLC expires on December 31, 2021, and we pay a fee of 8.01% to the NPS on the majority of our sales occurring in Grand Teton National Park.</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013" w:right="239" w:bottom="1440" w:gutter="0" w:footer="0" w:header="0"/>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2011, the NPS selected Flagg Ranch Company, a wholly-owned subsidiary, to provide lodging, food and beverage services, retail, service station, recreation and other services on the Parkway located between Grand Teton National Park and Yellowstone National Park. Our concession contract with the NPS for the Parkway expires on October 31, 2026, and we pay a fee of 5.3% to the NPS on the majority of our sales occurring in the Parkway.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expiration of these concession contracts, we will have to bid against other prospective concessionaires for award of a new contract. The NPS may suspend operations under the concession contract at any time if the NPS determines it is necessary to protect visitors or resources within the Grand Teton National Park or during a Federal Government shutdown. NPS may also terminate the concession contract for breach, following notice and a 15 day cure period or if it believes termination is necessary to protect visitors or resources within the Grand Teton National Park.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Environmental Regulations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National Environmental Policy Act; California Environmental Quality Act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NEPA requires an assessment of the environmental impacts of “significant” proposed actions on National Forest land, such as expansion of a ski area, installation of new lifts or snowmaking facilities or construction of new trails or buildings. We must comply with NEPA when seeking Forest Service approval of such improvements, except in limited cases where projects are not expected to have environmental impacts, which can be submitted to a Categorical Exclusion. The Forest Service is responsible for preparing and compiling the required environmental studies, usually through third-party consultants. NEPA allows for different types of environmental studies, depending on, among other factors, the scope and size of the expected impact of the proposed project. An Environmental Assessment (“EA”) is typically used for projects where the environmental impacts are expected to be limited. For projects with more significant expected impacts, an Environmental Impact Statement (“EIS”) is more commonly required. An EIS is more detailed and broader in scope than an EA.</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requisite environmental study, the Forest Service is required to analyze alternatives to the proposed action (including not taking the proposed action), as well as impacts that may be unavoidable. Following completion of the requisite environmental study, the Forest Service may decide not to approve the proposed action or may decide to approve an alternative. In either case, we may be forced to abandon or alter our development or expansion plans.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 Environmental Quality Act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Proposed actions at Kirkwood, Northstar and certain portions of Heavenly may also be subject to the California Environmental Quality Act (“CEQA”), which is similar to NEPA in that it requires the California governmental entity approving any proposed action at Kirkwood, Northstar, or on the California portion of Heavenly to study potential environmental impacts. Projects with significant expected impacts require an Environmental Impact Report while more limited projects may be approved based on a Mitigated Negative Declaration.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Forest &amp; Range Practices Act</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Forest &amp; Range Practices Act (“FRPA”) is the principal legislation that governs mountain resorts in British Columbia, including Whistler Blackcomb. The FRPA outlines how all forest and range practices and resource-based activities are to be conducted on Crown (Public) land in British Columbia, while ensuring protection of everything in and on the lands, such as plants, animals and ecosystems. All forest and range licensees' activities are governed by FRPA and its regulations during all stages of planning, road building, logging, and reforestation, including removing timber for ski trail development. The FRPA is mostly based on self-compliance and does not specifically express standards to ski area development.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Planning and Assessment Act 1979 (NSW, Australia)</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Environmental Planning and Assessment Act 1979 (NSW) (“EPA Act”) is the principal legislation regulating land use and development in New South Wales, Australia. Perisher relies on a suite of planning approvals (and existing use rights) granted under the EPA Act to operate the resort. Various types of development that facilitate commercial ski resort operations are also permitted to be carried out without planning approval pursuant to the State Environmental Planning Policy (Kosciusko National Park - Alpine Resorts) 2007 and the Snowy River Local Environmental Plan 2013. Strategic planning documents have been adopted to provide a framework for the assessment and approval of future development at the resort, including the Perisher Range Resorts Master Plan, Perisher Blue Ski Resort Ski Slope Master Plan and Kosciuszko National Park Plan of Management. Perisher holds a number of environmental approvals to regulate its operations, including an environment protection license for the sewage treatment plant at Bullock’s Flat and a suite of licenses for the storage of diesel, heating oil and propane in storage tanks across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013" w:right="239" w:bottom="1440" w:gutter="0" w:footer="0" w:header="0"/>
        </w:sectPr>
      </w:pPr>
    </w:p>
    <w:bookmarkStart w:id="19" w:name="page20"/>
    <w:bookmarkEnd w:id="19"/>
    <w:p>
      <w:pPr>
        <w:ind w:right="20"/>
        <w:spacing w:after="0" w:line="282" w:lineRule="auto"/>
        <w:rPr>
          <w:sz w:val="20"/>
          <w:szCs w:val="20"/>
          <w:color w:val="auto"/>
        </w:rPr>
      </w:pPr>
      <w:r>
        <w:rPr>
          <w:rFonts w:ascii="Times New Roman" w:cs="Times New Roman" w:eastAsia="Times New Roman" w:hAnsi="Times New Roman"/>
          <w:sz w:val="18"/>
          <w:szCs w:val="18"/>
          <w:color w:val="auto"/>
        </w:rPr>
        <w:t>the resort. Perisher implemented an Environmental Management System to manage compliance with the environmental regulatory framework, and mitigate potential environmental risks arising from its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State, Local and Other Regulations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Various federal, state, local and provincial regulations also govern our resort operations, including liquor licensing and food safety regulations applicable to our food and beverage operations and safety standards relating to our lift operations and heli-ski operations at Whistler Blackcomb. In addition, each resort is subject to and must comply with state, county, regional and local government land use regulations and restrictions, including, for example, employee housing ordinances, zoning and density restrictions, noise ordinances, and wildlife, water and air quality regulations.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Specifically, in Vermont, the operations of Stowe are subject to Vermont’s state-wide Land Use and Development Act known as “Act 250.” Act 250, administered by the Vermont Agency of Natural Resources, regulates the impacts of development to, among other things, waterways, air, wildlife and earth resources using ten criteria that are designed to safeguard the environment, community life and aesthetic character of Vermont. Stowe has a Master Plan detailing the development considerations within the resort boundary. All projects within the resort’s Master Plan have completed or will need to complete the Act 250 review process at the project level.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Water and Snowmaking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rely on a supply of water for operation of our ski areas for domestic and snowmaking purposes and for real estate development. Availability of water depends on existence of adequate water rights, as well as physical delivery of the water when and where it is needed.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provide a level of predictability in dates of operation and favorable snow surface conditions at our ski areas, we rely on snowmaking, which requires a significant volume of water, most of which is viewed as a non-consumptive use. Approximately 80% of the water is returned to the watershed at spring runoff.</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Colorado, we own or have ownership interests in water rights in reservoir companies, reservoirs, groundwater wells and other sources. The primary source of water for Keystone and Breckenridge is the Clinton Reservoir, in which we own a non-controlling interest. For Vail Mountain and Beaver Creek, the primary water source is Eagle Park Reservoir, in which we own a controlling interest.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Park City receives water for snowmaking from the Park City Municipal Corporation and Summit Water Distribution Company pursuant to various long-term agreements. Park City’s water is stored in retention ponds located at the Park City Golf Club, a retention pond located at the resort, and at facilities owned or operated by Summit Water Distribution Company.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Heavenly’s primary sources of water purchased for domestic and snowmaking uses are the South Tahoe Public Utility District and Kingsbury General Improvement District, which are California and Nevada utilities, respectively. The delivery systems of each utility are limited and may not be able to provide the immediate physical supply of water needed for optimal snowmaking. These sources are augmented by on-mountain underground wells that provide water for domestic uses at on-mountain lodges and for snowmaking. The underground water rights that are used for the East Peak Lake snowmaking well are held jointly with the Forest Service.</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Northstar obtains water through a cooperative arrangement with the Northstar Community Services District (“NCSD”). Together with NCSD, we, through our lease with affiliates of EPR Properties, control surface water rights that we use for snowmaking. In addition, we have contractual rights to ground water from NCSD and from the adjacent Martis Camp residential development. We receive domestic water from NCSD and, for on-mountain facilities, from on-mountain wells and a series of significant near-surface springs.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Kirkwood co-owns with the Forest Service surface water rights sufficient for current and planned snowmaking at the resort. Kirkwood’s water is stored in nearby Caples Lake under contract with its owner/operator. Afton Alps, Mt. Brighton and Wilmot rely on on-site water wells and reservoirs for snowmaking. Perisher is subject to the Water Act of 1912 (NSW) (“NSW Water Act”), which regulates the use of water sources (such as rivers, lakes and groundwater aquifers) in the Kosciuszko National Park. Perisher relies on six water licenses issued under the NSW Water Act and a water extraction agreement with an independent third party for the purposes of extracting water for snowmaking.</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Whistler Blackcomb receives water rights used for snowmaking through licenses from the Province which describe annual allowable volumes on a number of its mountain creeks, and Whistler Blackcomb typically uses only a small percentage of its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012" w:right="239" w:bottom="1440" w:gutter="0" w:footer="0" w:header="0"/>
        </w:sectPr>
      </w:pPr>
    </w:p>
    <w:bookmarkStart w:id="20" w:name="page21"/>
    <w:bookmarkEnd w:id="20"/>
    <w:p>
      <w:pPr>
        <w:jc w:val="both"/>
        <w:spacing w:after="0" w:line="266" w:lineRule="auto"/>
        <w:rPr>
          <w:sz w:val="20"/>
          <w:szCs w:val="20"/>
          <w:color w:val="auto"/>
        </w:rPr>
      </w:pPr>
      <w:r>
        <w:rPr>
          <w:rFonts w:ascii="Times New Roman" w:cs="Times New Roman" w:eastAsia="Times New Roman" w:hAnsi="Times New Roman"/>
          <w:sz w:val="18"/>
          <w:szCs w:val="18"/>
          <w:color w:val="auto"/>
        </w:rPr>
        <w:t>licensed water. Whistler Blackcomb is subject to the Watershed Sustainability Act (“WSA”), which is the principal law for managing the diversion and use of water resources in British Columbia and is applicable to Whistler Blackcomb’s use of water for drinking consumption and snowmaking. The WSA requires Whistler Blackcomb to obtain certain approvals and conduct monitoring of its streams.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file with or furnish to the Securities and Exchange Commission (“SEC”) reports, including our annual report on Form 10-K, quarterly reports on Form 10-Q, current reports on Form 8-K and amendments to those reports pursuant to Section 13(a) or 15(d) of the Securities Exchange Act of 1934, as amended (the “Exchange Act”). These reports, proxy statements and other information are available free of charge on our corporate website </w:t>
      </w:r>
      <w:r>
        <w:rPr>
          <w:rFonts w:ascii="Times New Roman" w:cs="Times New Roman" w:eastAsia="Times New Roman" w:hAnsi="Times New Roman"/>
          <w:sz w:val="18"/>
          <w:szCs w:val="18"/>
          <w:u w:val="single" w:color="auto"/>
          <w:color w:val="auto"/>
        </w:rPr>
        <w:t>www.vailresorts.com</w:t>
      </w:r>
      <w:r>
        <w:rPr>
          <w:rFonts w:ascii="Times New Roman" w:cs="Times New Roman" w:eastAsia="Times New Roman" w:hAnsi="Times New Roman"/>
          <w:sz w:val="18"/>
          <w:szCs w:val="18"/>
          <w:color w:val="auto"/>
        </w:rPr>
        <w:t xml:space="preserve"> as soon as reasonably practicable after they are electronically filed with or furnished to the SEC. Information on our websites does not constitute part of this document. Materials filed with or furnished to the SEC are also made available on its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Copies of any materials we file with the SEC can be obtained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at the SEC’s public reference room at 100 F Street, N.E., Washington, D.C. 20549. Information on the operation of the public reference room is available by calling the SEC at 1-800-SEC-0330.</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risks and uncertainties that could adversely affect our financial position, results of operations and cash flows. The risks described below should carefully be considered together with the other information contained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We are subject to the risk of prolonged weakness in general economic conditions including adverse effects on the overall travel and leisure related industries. </w:t>
      </w:r>
      <w:r>
        <w:rPr>
          <w:rFonts w:ascii="Times New Roman" w:cs="Times New Roman" w:eastAsia="Times New Roman" w:hAnsi="Times New Roman"/>
          <w:sz w:val="18"/>
          <w:szCs w:val="18"/>
          <w:color w:val="auto"/>
        </w:rPr>
        <w:t>Economic conditions currently present or recently present in North America, Europe and parts of the rest of the world, including high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unemployment, erosion of consumer confidence, sovereign debt issues and financial instability in the global markets, may potentially have negative effects on the travel and leisure industry and on our results of operations. As a result of these and other economic uncertainties, we have experienced and may experience in the future, among other items, a change in booking trends such that guest reservations are made much closer to the actual date of stay, a decrease in the length of stay and a decrease in group bookings. We cannot predict what impact these uncertainties may have on overall travel and leisure or more specifically, on our guest visitation, guest spending or other related trends and the ultimate impact it will have on our results of operations. Additionally, the actual or perceived fear of weakness in the economy could also lead to decreased spending by our guests. Skiing, travel and tourism are discretionary recreational activities that can entail a relatively high cost of participation and are adversely affected by economic slowdown or recession. This could further be exacerbated by the fact that we charge some of the highest prices for our lift tickets and ancillary services in the ski industry. In the event of a decrease in visitation and overall guest spending we may be required to offer a higher amount of discounts and incentives than we have historically, which would adversely impact our operating results. Our resorts also serve as a destination for international guests. To the extent there are material changes in exchange rates relative to the U.S. dollar, it could impact the volume of international visitation.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013" w:right="239" w:bottom="1440" w:gutter="0" w:footer="0" w:header="0"/>
        </w:sectPr>
      </w:pPr>
    </w:p>
    <w:bookmarkStart w:id="21" w:name="page22"/>
    <w:bookmarkEnd w:id="21"/>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We are vulnerable to unfavorable weather conditions and the impact of natural disasters. </w:t>
      </w:r>
      <w:r>
        <w:rPr>
          <w:rFonts w:ascii="Times New Roman" w:cs="Times New Roman" w:eastAsia="Times New Roman" w:hAnsi="Times New Roman"/>
          <w:sz w:val="18"/>
          <w:szCs w:val="18"/>
          <w:color w:val="auto"/>
        </w:rPr>
        <w:t>Our ability to attract guests to our resorts is influenced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weather conditions and by the amount and timing of snowfall during the ski season. Unfavorable weather conditions can adversely affect skier visits and our revenue and profits. Unseasonably warm weather may result in inadequate natural snowfall and reduce skiable terrain, which increases the cost of snowmaking and could render snowmaking, wholly or partially, ineffective in maintaining quality skiing conditions, including in areas which are not accessible by snowmaking equipment. In addition, a severe and prolonged drought could affect our otherwise adequate snowmaking water supplies or increase the cost of snowmaking. Excessive natural snowfall may significantly increase the costs incurred to groom trails and may make it difficult for guests to obtain access to our mountain resorts. In the past 20 years, our North American mountain resorts have averaged between 20 and 39 feet of annual snowfall, which is significantly in excess of the average for North American ski resorts. However, there can be no assurance that our resorts will receive seasonal snowfalls near their historical average in the future. For example, we experienced very poor conditions in the Lake Tahoe region during the 2012/2013, 2013/2014 and 2014/2015 North American ski seasons and experienced historic low snowfall across all our U.S. resorts during the 2011/2012 ski season. Past snowfall levels or consistency of snow conditions can impact the levels of sales of season passes. Additionally, the early season snow conditions and skier perceptions of early season snow conditions can influence the momentum and success of the overall ski season. Unfavorable weather conditions can adversely affect our resorts and lodging properties as guests tend to delay or postpone vacations if conditions differ from those that typically prevail at such resorts for a given season. Additionally, the potential effects of climate change could have a material adverse effect on our results of operations as warmer overall temperatures would likely adversely affect skier visits and our revenue and profits. Although we have created geographic diversification to help mitigate the impact of weather variability, there is no way for us to predict future weather patterns or the impact that weather patterns may have on our results of operations or visitation.</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severe natural disaster, such as a forest fire, may interrupt our operations, damage our properties, reduce the number of guests who visit our resorts in affected areas and negatively impact our revenue and profitability. Damage to our properties could take a long time to repair and there is no guarantee that we would have adequate insurance to cover the costs of repair and recoup lost profits. Furthermore, such a disaster may interrupt or impede access to our affected properties or require evacuations and may cause visits to our affected properties to decrease for an indefinite period. The ability to attract visitors to our resorts is also influenced by the aesthetics and natural beauty of the outdoor environment where our resorts are located. A severe forest fire or other severe impacts from naturally occurring events could negatively impact the natural beauty of our resorts and have a long-term negative impact on our overall guest visitation as it would take several years for the environment to recover.</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Leisure and business travel are particularly susceptible to various factors outside of our control, including terrorism, the uncertainty of military conflicts, outbreaks of contagious diseases, the cost and availability of travel options and change in consumer preferences. </w:t>
      </w:r>
      <w:r>
        <w:rPr>
          <w:rFonts w:ascii="Times New Roman" w:cs="Times New Roman" w:eastAsia="Times New Roman" w:hAnsi="Times New Roman"/>
          <w:sz w:val="18"/>
          <w:szCs w:val="18"/>
          <w:color w:val="auto"/>
        </w:rPr>
        <w:t>Our business is sensitive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willingness of our guests to travel. Acts of terrorism, the spread of contagious diseases, political events and developments in military conflicts in areas of the world from which we draw our guests could depress the public’s propensity to travel and cause severe disruptions in both domestic and international air travel and consumer discretionary spending, which could reduce the number of visitors to our resorts and have an adverse effect on our results of operations. Many of our guests travel by air and the impact of higher prices for commercial airline services and availability of air services could cause a decrease in visitation by Destination guests to our resorts. A significant portion of our guests also travel by vehicle and higher gasoline prices could adversely impact our guests’ willingness to travel to our resorts. Higher cost of travel may also affect the amount that guests are willing to spend at our resorts and could negatively impact our revenue particularly for lodging, ski school, dining and retail/rental.</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our success depends on our ability to attract visitors to our ski resorts. Changes in consumer tastes and preferences, particularly those affecting the popularity of skiing and snowboarding, and other social and demographic trends could adversely affect the number of skier visits during a ski season. A significant decline in skier visits compared to historical levels would have a material adverse effect on our business, prospects, financial condition, results of operations and cash flows.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009" w:right="239" w:bottom="1440" w:gutter="0" w:footer="0" w:header="0"/>
        </w:sectPr>
      </w:pPr>
    </w:p>
    <w:bookmarkStart w:id="22" w:name="page23"/>
    <w:bookmarkEnd w:id="22"/>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Our business is highly seasonal. </w:t>
      </w:r>
      <w:r>
        <w:rPr>
          <w:rFonts w:ascii="Times New Roman" w:cs="Times New Roman" w:eastAsia="Times New Roman" w:hAnsi="Times New Roman"/>
          <w:sz w:val="18"/>
          <w:szCs w:val="18"/>
          <w:color w:val="auto"/>
        </w:rPr>
        <w:t>Our mountain and lodging operations are highly seasonal in nature. In particular, revenue and profits from our mountain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most of our lodging operations are substantially lower and historically result in losses from late spring to late fall. Conversely, peak operating seasons for Perisher, GTLC and Flagg Ranch, mountain summer activities (including our Epic Discovery program), sightseeing and our golf courses generally occur from June to the end of September while the remainder of the year results in operating losses. Revenue and profits generated by Perisher, GTLC and Flagg Ranch, mountain summer activities/sightseeing and golf peak season operations are not nearly sufficient to fully offset our off-season losses from our other mountain and lodging operations. For Fiscal 2017, 80% of total combined Mountain and Lodging segment net revenue (excluding Lodging segment revenue associated with reimbursement of payroll costs) was earned during our second and third fiscal quarters. This seasonality is partially mitigated by the sale of season passes (which for Fiscal 2017 accounted for approximately 43% of the total lift revenue) predominately occurring during the period prior to the start of the ski season as the cash from those sales is collected in advance and revenue is mostly recognized in the second and third quarters. In addition, the timing of major holidays and school breaks can impact vacation patterns and therefore visitation at our mountain resorts and urban ski areas. If we were to experience an adverse event or realize a significant deterioration in our operating results during our peak periods (our fiscal second and third quarters) we would be unable to fully recover any significant declines due to the seasonality of our business. Operating results for any three-month period are not necessarily indicative of the results that may be achieved for any subsequent quarter or for a full fiscal year (see Notes to Consolidated Financial Statements).</w:t>
      </w:r>
    </w:p>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fall of 2011, the Ski Area Recreational Opportunity Enhancement Act was enacted into law which clarifies that the Forest Service is authorized to permit year-round recreational activities on land owned by the Forest Service. As such, this allows and will continue to allow our mountain resorts on Forest Service land to offer more summer-season recreational opportunities, including our Epic Discovery program that we have launched at Heavenly, Vail and Breckenridge. We anticipate that once these summer activities mature, and with the addition of Whistler Blackcomb’s robust summer activities, we could realize substantial incremental summer guest visitation and revenue. However, our summer activities may not generate the projected revenue and profit margins we expect, and even if our future plans are successful, we do not expect that these enhanced summer operations will fully mitigate the seasonal losses that our mountain operations experience from late spring to late fall.</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We face significant competition. </w:t>
      </w:r>
      <w:r>
        <w:rPr>
          <w:rFonts w:ascii="Times New Roman" w:cs="Times New Roman" w:eastAsia="Times New Roman" w:hAnsi="Times New Roman"/>
          <w:sz w:val="18"/>
          <w:szCs w:val="18"/>
          <w:color w:val="auto"/>
        </w:rPr>
        <w:t>The ski resort and lodging industries are highly competitive. The number of U.S. skier visits has generally ranged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51 million and 61 million annually over the last decade, with approximately 54.8 million visits for the 2016/2017 U.S. ski season. There are approximately 480 ski areas in the U.S. that serve local and destination guests, and these ski areas can be more or less impacted by weather conditions based on their location and snowmaking capabilities. The factors that we believe are important to customers include:</w:t>
      </w:r>
    </w:p>
    <w:p>
      <w:pPr>
        <w:spacing w:after="0" w:line="127" w:lineRule="exact"/>
        <w:rPr>
          <w:sz w:val="20"/>
          <w:szCs w:val="20"/>
          <w:color w:val="auto"/>
        </w:rPr>
      </w:pPr>
    </w:p>
    <w:p>
      <w:pPr>
        <w:ind w:left="1040" w:hanging="411"/>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to population centers;</w:t>
      </w:r>
    </w:p>
    <w:p>
      <w:pPr>
        <w:spacing w:after="0" w:line="27"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transportation to ski areas;</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quality of lodging options in resort areas;</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travel to ski areas (including direct flights by major airlines);</w:t>
      </w:r>
    </w:p>
    <w:p>
      <w:pPr>
        <w:spacing w:after="0" w:line="9" w:lineRule="exact"/>
        <w:rPr>
          <w:rFonts w:ascii="Times New Roman" w:cs="Times New Roman" w:eastAsia="Times New Roman" w:hAnsi="Times New Roman"/>
          <w:sz w:val="18"/>
          <w:szCs w:val="18"/>
          <w:color w:val="auto"/>
        </w:rPr>
      </w:pPr>
    </w:p>
    <w:p>
      <w:pPr>
        <w:ind w:left="1040" w:hanging="411"/>
        <w:spacing w:after="0" w:line="250"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of lift tickets and/or season passes and the magnitude, quality and price of related ancillary services (ski school, dining and retail/rental), amenities and lodging;</w:t>
      </w:r>
    </w:p>
    <w:p>
      <w:pPr>
        <w:ind w:left="1040" w:hanging="411"/>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snowmaking facilities;</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and quality of skiing and snowboarding offered;</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duration of the ski season;</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and</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many competing options for our guests, including other major resorts in Colorado, Utah, California, Nevada, the Pacific Northwest, Southwest and British Columbia, Canada, and other major destination ski areas worldwide. Our guests can choose from any of these alternatives, as well as non-skiing vacation options and destinations around the world. In addition, other forms of leisure such as sporting events and participation in other competing indoor and outdoor recreational activities are available to potential guests.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RockResorts hotels, our other hotels and our property management business compete with numerous other hotel and property management companies that may have greater financial resources than we do and they may be able to adapt more quickly to changes in customer requirements or devote greater resources to promotion of their offerings than us.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008" w:right="239" w:bottom="1440" w:gutter="0" w:footer="0" w:header="0"/>
        </w:sectPr>
      </w:pPr>
    </w:p>
    <w:bookmarkStart w:id="23" w:name="page24"/>
    <w:bookmarkEnd w:id="23"/>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The high fixed cost structure of mountain resort operations can result in significantly lower margins if revenues decline. </w:t>
      </w:r>
      <w:r>
        <w:rPr>
          <w:rFonts w:ascii="Times New Roman" w:cs="Times New Roman" w:eastAsia="Times New Roman" w:hAnsi="Times New Roman"/>
          <w:sz w:val="18"/>
          <w:szCs w:val="18"/>
          <w:color w:val="auto"/>
        </w:rPr>
        <w:t>The cost structure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mountain resort operations has a significant fixed component with variable expenses including, but not limited to, land use fees and other resort related fees; credit card fees; retail/rental cost of sales; labor; and resort, dining and ski school operations. Any material declines in the economy, elevated geopolitical uncertainties and/or significant changes in historical snowfall patterns, as well as other risk factors discussed herein, could adversely affect revenue. As such, our margins, profits and cash flows may be materially reduced due to declines in revenue given our relatively high fixed cost structure. In addition, increases in wages and other labor costs, energy, healthcare, insurance, transportation and fuel, property taxes, minimum lease payments and other expenses included in our fixed cost structure may also reduce our margin, profits and cash flows.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We may not be able to fund resort capital expenditures. </w:t>
      </w:r>
      <w:r>
        <w:rPr>
          <w:rFonts w:ascii="Times New Roman" w:cs="Times New Roman" w:eastAsia="Times New Roman" w:hAnsi="Times New Roman"/>
          <w:sz w:val="18"/>
          <w:szCs w:val="18"/>
          <w:color w:val="auto"/>
        </w:rPr>
        <w:t>We regularly expend capital to construct, maintain and renovate our mountain resorts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properties in order to remain competitive, maintain the value and brand standards of our mountain resorts and properties and comply with applicable laws and regulations. We cannot always predict where capital will need to be expended in a given fiscal year and capital expenditures can increase due to forces beyond our control. We anticipate that resort capital expenditures will be approximately $103 million for calendar year 2017, which excludes anticipated investments at Whistler Blackcomb, capital expenditures for U.S. summer related activities and one-time integration capital expenditures at Whistler Blackcomb. In addition, we expect to spend approximately $17 million in calendar year 2017 for maintenance and discretionary projects at Whistler Blackcomb and an additional $17 million in capital during calendar year 2017 for the Whistler Blackcomb integration. Our ability to fund capital expenditures will depend on our ability to generate sufficient cash flow from operations and/or to borrow from third parties in the debt or equity markets. We cannot provide assurances that our operations will be able to generate sufficient cash flow to fund such costs, or that we will be able to obtain sufficient financing on adequate terms, or at all. Our ability to generate cash flow and to obtain third-party financing will depend upon many factors, including:</w:t>
      </w:r>
    </w:p>
    <w:p>
      <w:pPr>
        <w:spacing w:after="0" w:line="136" w:lineRule="exact"/>
        <w:rPr>
          <w:sz w:val="20"/>
          <w:szCs w:val="20"/>
          <w:color w:val="auto"/>
        </w:rPr>
      </w:pPr>
    </w:p>
    <w:p>
      <w:pPr>
        <w:ind w:left="1040" w:hanging="411"/>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performance;</w:t>
      </w:r>
    </w:p>
    <w:p>
      <w:pPr>
        <w:spacing w:after="0" w:line="27"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economic conditions affecting the resort industry, the ski industry and the capital markets;</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and regulatory matters affecting our operations and business;</w:t>
      </w:r>
    </w:p>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Any inability to generate sufficient cash flows from operations or to obtain adequate third-party financing could cause us to delay or abandon certain projects and/or plans.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009" w:right="239" w:bottom="1440" w:gutter="0" w:footer="0" w:header="0"/>
        </w:sectPr>
      </w:pPr>
    </w:p>
    <w:bookmarkStart w:id="24" w:name="page25"/>
    <w:bookmarkEnd w:id="24"/>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We rely on government permits and landlord approvals. </w:t>
      </w:r>
      <w:r>
        <w:rPr>
          <w:rFonts w:ascii="Times New Roman" w:cs="Times New Roman" w:eastAsia="Times New Roman" w:hAnsi="Times New Roman"/>
          <w:sz w:val="18"/>
          <w:szCs w:val="18"/>
          <w:color w:val="auto"/>
        </w:rPr>
        <w:t>Our resort operations require permits and approvals from certain federal, state, local and foreign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authorities, including the Forest Service, the Province of British Columbia, U.S. Army Corps of Engineers, the State of Vermont, NPS and the OEH, an agency of the New South Wales government. Virtually all of our ski trails and related activities, including our current and proposed comprehensive summer activities plan, at Vail Mountain, Breckenridge, Keystone, Heavenly, Kirkwood and a majority of Beaver Creek are located on National Forest land. The Forest Service has granted us permits to use these lands, but maintains the right to review and approve many operational matters, as well as the location, design and construction of improvements in these areas. Currently, our permits expire December 31, 2029 for Breckenridge; December 1, 2031 for Vail Mountain; December 31, 2032 for Keystone; November 8, 2039 for Beaver Creek; May 1, 2042 for Heavenly; and, March 1, 2052 for Kirkwood. The Forest Service can terminate or amend these permits if, in its opinion, such termination is required in the public interest. A termination or amendment of any of our permits could have a materially adverse effect on our business and operations. In order to undertake improvements and new development, we must apply for permits and other approvals. These efforts, if unsuccessful, could impact our expansion efforts. Furthermore, Congress may materially increase the fees we pay to the Forest Service for use of these National Forest lands. Additionally, our operations at Whistler Blackcomb are located on Crown Land within the traditional territory of the Squamish and Lil’wat Nations, and the operations and future development of both Whistler Mountain and Blackcomb Mountain are governed by Master Development Agreements, which expire on February 23, 2077. Stowe is partially located on land we lease from the State of Vermont and we are required to seek approval from the State of Vermont for certain developments and improvements made to the resort. Our Northstar and Park City resorts are conducted pursuant to long-term leases with third parties who require us to operate the resorts in accordance with the terms of the leases and seek certain approvals from the respective landlords for improvements made to the resorts. The initial lease term for Northstar with affiliates of EPR Properties expires in January 2027 and allows for three 10-year renewal options. We entered into a transaction agreement, master lease agreement and ancillary transaction documents with affiliate companies of Talisker Corporation (“Talisker”), and the initial lease term for our Park City resort with Talisker expires in May 2063 and allows for six 50-year renewal options. We have a lease and a license for Perisher within the Kosciusko National Park which expires in June 2048, with an option to renew for an additional period of 20 years. Perisher relies on a suite of planning approvals (and existing use rights) granted under the Australian EPA Act to operate the resort. Strategic planning documents have been adopted to provide a framework for the assessment and approval of future development at the resort. Perisher also holds a number of environmental approvals to regulate its operations, including an environment protection license and a suite of dangerous goods licenses related to the storage of diesel, heating oil and propane in storage tanks across the resort. Additionally, GTLC and Flagg Ranch operate under concessionaire agreements with the NPS that expire on December 31, 2021 and October 31, 2026, respectively. There is no guarantee that at the end of the initial lease/license or agreements under which we operate our resorts we will renew or, if desired, be able to negotiate new terms that are favorable to us. Additionally, our resorts that operate on privately-owned land are subject to local land use regulation and oversight by county and/or town government and may not be able to obtain the requisite approvals needed for resort improvements or expansions. Failure to comply with the provisions, obligations and terms (including renewal requirements and deadlines) of our material permits and leases could adversely impact our operating results.</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A disruption in our water supply would impact our snowmaking capabilities and operations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operations are heavily dependent upon our access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adequate supplies of water for snowmaking and to otherwise conduct our operations. Our mountain resorts are subject to federal, state, provincial and local laws and regulations relating to water rights. Changes in these laws and regulations may adversely affect our operations. For example, the Forest Service could develop new SUP language that could potentially affect our water rights, and recently the Forest Service finalized a new national water clause for all ski area SUPs. Although the recent change will not require any private water rights to be transferred to the Forest Service, future modified language could have an effect on our water rights. In addition, drought conditions may adversely affect our water supply. A significant change in law or policy or any other interference with our access to adequate supplies of water to support our current operations or an expansion of our operations would have a material adverse effect on our business, prospects, financial position, results of operations and cash flows.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009" w:right="239" w:bottom="1440" w:gutter="0" w:footer="0" w:header="0"/>
        </w:sectPr>
      </w:pPr>
    </w:p>
    <w:bookmarkStart w:id="25" w:name="page26"/>
    <w:bookmarkEnd w:id="25"/>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We are subject to extensive environmental and health and safety laws and regulations in the ordinary course of business. </w:t>
      </w:r>
      <w:r>
        <w:rPr>
          <w:rFonts w:ascii="Times New Roman" w:cs="Times New Roman" w:eastAsia="Times New Roman" w:hAnsi="Times New Roman"/>
          <w:sz w:val="18"/>
          <w:szCs w:val="18"/>
          <w:color w:val="auto"/>
        </w:rPr>
        <w:t>Our operations are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variety of federal, state, local and foreign environmental laws and regulations including those relating to air emissions, discharges to water, storage, treatment and disposal of wastes and other liquids, land use, remediation of contaminated sites, protection of natural resources such as wetlands and sustainable visitor or tourist use and enjoyment. For example, future expansions of certain of our mountain facilities must comply with applicable forest plans approved under the National Forest Management Act, federal, state and foreign wildlife protection laws or local zoning requirements, and in Vermont, our operations must comply with Act 250, which regulates the impacts of development to, among other things, waterways, air, wildlife and earth resources, and any projects must be completed pursuant to a Master Plan. In addition, most projects to improve, upgrade or expand our ski areas are subject to environmental review under the NEPA, FRPA, Act 250, the CEQA, the Australian NPW Act or the Australian EPA Act, as applicable. The NEPA and CEQA require the Forest Service, or other governmental entities, to study any proposal for potential environmental impacts and include various alternatives in its analysis. Our ski area improvement proposals may not be approved or may be approved with modifications that substantially increase the cost or decrease the desirability of implementing the project. Our facilities are subject to risks associated with mold and other indoor building contaminants. From time to time our operations are subject to inspections by environmental regulators or other regulatory agencies. We are also subject to worker health and safety requirements. We believe our operations are in substantial compliance with applicable material environmental, health and safety requirements. However, our efforts to comply do not eliminate the risk that we may be held liable, incur fines or be subject to claims for damages, and that the amount of any liability, fines, damages or remediation costs may be material for, among other things, the presence or release of regulated materials at, on or emanating from properties we now or formerly owned or operated, newly discovered environmental impacts or contamination at or from any of our properties, or changes in environmental laws and regulations or their enforcement.</w:t>
      </w:r>
    </w:p>
    <w:p>
      <w:pPr>
        <w:spacing w:after="0" w:line="1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We rely on information technology to operate our businesses and maintain our competitiveness, and any failure to adapt to technological developments or industry trends could harm our business. </w:t>
      </w:r>
      <w:r>
        <w:rPr>
          <w:rFonts w:ascii="Times New Roman" w:cs="Times New Roman" w:eastAsia="Times New Roman" w:hAnsi="Times New Roman"/>
          <w:sz w:val="18"/>
          <w:szCs w:val="18"/>
          <w:color w:val="auto"/>
        </w:rPr>
        <w:t>We depend on the use of sophisticated information technology and systems for central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reservations, point of sale, marketing, procurement, maintaining the privacy of guest and employee data, administration and technologies we make available to our guests. We must continuously improve and upgrade our systems and infrastructure to offer enhanced products, services, features and functionality, while maintaining the reliability and integrity of our systems, network security and infrastructure. Our future success also depends on our ability to adapt our infrastructure to meet rapidly evolving consumer trends and demands and to respond to competitive service and product offerings.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may not be able to maintain our existing systems or replace or introduce new technologies and systems as quickly as we would like or in a cost-effective manner. Delays or difficulties implementing new or enhanced systems may keep us from achieving the desired results in a timely manner, to the extent anticipated, or at all. Any interruptions, outages or delays in our systems, or deterioration in their performance, could impair our ability to process transactions and could decrease the quality of service we offer to our guests. Also, we may be unable to devote financial resources to new technologies and systems in the future. If any of these events occur, our business and financial performance could suffer.</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Failure to maintain the integrity of internal or guest data could result in damages to our reputation and/or subject us to costs, fines or lawsuits. </w:t>
      </w:r>
      <w:r>
        <w:rPr>
          <w:rFonts w:ascii="Times New Roman" w:cs="Times New Roman" w:eastAsia="Times New Roman" w:hAnsi="Times New Roman"/>
          <w:sz w:val="18"/>
          <w:szCs w:val="18"/>
          <w:color w:val="auto"/>
        </w:rPr>
        <w:t>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 and retain guest data, including credit card numbers and other personally identifiable information, for various business purposes, including transactional marketing and promotional purposes. We also maintain personally identifiable information about our employees. The integrity and privacy of our guest and employee information is very important to us, and our guests and employees have a high expectation that we will adequately protect their personal information. The regulatory environment, as well as the requirements imposed on us by the payment card industry, governing information, security and privacy laws is increasingly demanding and continue to evolve and on occasion may be inconsistent from one jurisdiction to another. Maintaining compliance with applicable security and privacy regulations may increase our operating costs and/or impact our ability to market our products, properties and services to our guests.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Despite our efforts, information networks and systems are vulnerable to service interruptions or to security breaches from inadvertent or intentional actions by our employees or vendors, or from attacks by malicious third parties. In recent years, there has been a rise in the number of sophisticated cyber-attacks on network and information systems, and as a result, the risks associated with such an event continue to increase. We have experienced, and expect to continue to be subject to, cybersecurity threats and incidents, none of which has been material to us to date. Although we have taken, and continue to take steps to address these concerns by implementing network security and internal controls, there can be no assurance that a system interruption, security breach or unauthorized access will not occur. Any such interruption, breach or unauthorized access to our network or systems could adversely affect our business operations and/or result in the loss of critical or sensitive confidential information or intellectual property, and could result in financial, legal, business and reputational harm to us.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009" w:right="239" w:bottom="1440" w:gutter="0" w:footer="0" w:header="0"/>
        </w:sectPr>
      </w:pPr>
    </w:p>
    <w:bookmarkStart w:id="26" w:name="page27"/>
    <w:bookmarkEnd w:id="26"/>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We depend on a seasonal workforce. </w:t>
      </w:r>
      <w:r>
        <w:rPr>
          <w:rFonts w:ascii="Times New Roman" w:cs="Times New Roman" w:eastAsia="Times New Roman" w:hAnsi="Times New Roman"/>
          <w:sz w:val="18"/>
          <w:szCs w:val="18"/>
          <w:color w:val="auto"/>
        </w:rPr>
        <w:t>Our mountain and lodging operations are highly dependent on a large seasonal workforce. We recruit year-round to fill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thousands of seasonal staffing needs each season and work to manage seasonal wages and the timing of the hiring process to ensure the appropriate workforce is in place. Furthermore, we cannot guarantee that we will be able to recruit and hire adequate seasonal personnel as the business requires. Immigration law reform could also impact our workforce because we recruit and hire foreign nationals as part of our seasonal workforce. Increased seasonal wages or an inadequate workforce could have an adverse impact on our results of operations.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We are subject to risks associated with our workforce, including increased labor costs. </w:t>
      </w:r>
      <w:r>
        <w:rPr>
          <w:rFonts w:ascii="Times New Roman" w:cs="Times New Roman" w:eastAsia="Times New Roman" w:hAnsi="Times New Roman"/>
          <w:sz w:val="18"/>
          <w:szCs w:val="18"/>
          <w:color w:val="auto"/>
        </w:rPr>
        <w:t>We are subject to various federal, state and foreign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governing matters such as minimum wage requirements, overtime compensation and other working conditions, work authorization requirements, discrimination and family and medical leave. Labor costs and labor-related benefits are primary components in the cost of our operations. Labor shortages, affordable employee housing shortages and increased employee turnover and health care mandates could also increase our labor costs and labor-related benefits. As minimum wage rates increase, including further potential federal and state legislative changes to the minimum wage rate (for example, the recent California legislation increasing minimum wage), we may need to increase not only the wages of our minimum wage employees but also the wages paid to employees at wage rates that are above the minimum wage. Additionally, new regulations governing the payment of overtime for salaried employees may be implemented, and we may incur additional costs to comply with the revised rules. From time to time, we have also experienced non-union employees attempting to unionize. While only a very small portion of our employees are unionized at present, we may experience additional union activity in the future, which could lead to disruptions in our business, increases in our operating costs and/or constraints on our operating flexibility. These potential labor impacts could adversely impact our results of operations.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If we do not retain our key personnel, our business may suffer. </w:t>
      </w:r>
      <w:r>
        <w:rPr>
          <w:rFonts w:ascii="Times New Roman" w:cs="Times New Roman" w:eastAsia="Times New Roman" w:hAnsi="Times New Roman"/>
          <w:sz w:val="18"/>
          <w:szCs w:val="18"/>
          <w:color w:val="auto"/>
        </w:rPr>
        <w:t>The success of our business is heavily dependent on the leadership of key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personnel, including our senior executive officers. If any of these persons were to leave, it could be difficult to replace them, and our business could be harmed. We do not maintain “key-man” life insurance on any of our employees.</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We are subject to litigation in the ordinary course of business. </w:t>
      </w:r>
      <w:r>
        <w:rPr>
          <w:rFonts w:ascii="Times New Roman" w:cs="Times New Roman" w:eastAsia="Times New Roman" w:hAnsi="Times New Roman"/>
          <w:sz w:val="18"/>
          <w:szCs w:val="18"/>
          <w:color w:val="auto"/>
        </w:rPr>
        <w:t>We are, from time to time, subject to various asserted or unasserted legal proceedings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claims. Any such claims, regardless of merit, could be time consuming and expensive to defend and could divert management’s attention and resources. While we believe we have adequate insurance coverage and/or accrue for loss contingencies for all known matters that are probable and can be reasonably estimated, we cannot assure you that the outcome of all current or future litigation will not have a material adverse effect on us and our results of operations.</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Our business depends on the quality and reputation of our brands, and any deterioration in the quality or reputation of these brands could have an adverse impact on our business. </w:t>
      </w:r>
      <w:r>
        <w:rPr>
          <w:rFonts w:ascii="Times New Roman" w:cs="Times New Roman" w:eastAsia="Times New Roman" w:hAnsi="Times New Roman"/>
          <w:sz w:val="18"/>
          <w:szCs w:val="18"/>
          <w:color w:val="auto"/>
        </w:rPr>
        <w:t>A negative public image or other adverse events could affect the reputation of one or more of our mountain resorts,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destination resorts, hotel properties and other businesses or more generally impact the reputation of our brands. If the reputation or perceived quality of our brands declines, our market share, reputation, business, financial condition or results of operations could be adversely impacted. Additionally, our intellectual property, including our trademarks, domain names and other proprietary rights, constitutes a significant part of our value. Any misappropriation, infringement or violation of our intellectual property rights could also diminish the value of our brands and their market acceptance, competitive advantages or goodwill, which could adversely affect our business.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There is a risk of accidents occurring at our mountain resorts or competing mountain resorts which may reduce visitation and negatively impact our operations. </w:t>
      </w:r>
      <w:r>
        <w:rPr>
          <w:rFonts w:ascii="Times New Roman" w:cs="Times New Roman" w:eastAsia="Times New Roman" w:hAnsi="Times New Roman"/>
          <w:sz w:val="18"/>
          <w:szCs w:val="18"/>
          <w:color w:val="auto"/>
        </w:rPr>
        <w:t>Our ability to attract and retain guests depends, in part, upon the external perceptions of the Company, the quality and safety of our resorts,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and activities, including summer activities, and our corporate and management integrity. While we maintain and promote an on-mountain safety program, there are inherent risks associated with our resort activities. An accident or an injury at any of our resorts or at resorts operated by competitors, particularly an accident or injury involving the safety of guests and employees that receives media attention, could negatively impact our brand or reputation, cause loss of consumer confidence in us, reduce visitation at our resorts, and negatively impact our results of operations. The considerable expansion in the use of social media over recent years has compounded the impact of negative publicity. If any such incident occurs during a time of high seasonal demand, the effect could disproportionately impact our results of operations.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Our acquisitions, including Whistler Blackcomb, Stowe or future acquisitions, might not be successful. </w:t>
      </w:r>
      <w:r>
        <w:rPr>
          <w:rFonts w:ascii="Times New Roman" w:cs="Times New Roman" w:eastAsia="Times New Roman" w:hAnsi="Times New Roman"/>
          <w:sz w:val="18"/>
          <w:szCs w:val="18"/>
          <w:color w:val="auto"/>
        </w:rPr>
        <w:t>We have acquired certain mountain resorts,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hotel properties and other businesses complementary to our own, as well as developable land in proximity to our resorts. Acquisitions are complex to evaluate, execute and integrate. We cannot assure you that we will be able to accurately evaluate or successfully integrate and manage acquired mountain resorts, properties and businesses and increase our profits from these operations. We continually evaluate potential acquisitions both domestically and internationally and intend to actively pursue acquisition opportunities, some of which could be significant. As a result, we face various risks from acquisitions, including:</w:t>
      </w:r>
    </w:p>
    <w:p>
      <w:pPr>
        <w:spacing w:after="0" w:line="133" w:lineRule="exact"/>
        <w:rPr>
          <w:sz w:val="20"/>
          <w:szCs w:val="20"/>
          <w:color w:val="auto"/>
        </w:rPr>
      </w:pPr>
    </w:p>
    <w:p>
      <w:pPr>
        <w:ind w:left="5620" w:right="4520" w:hanging="4991"/>
        <w:spacing w:after="0" w:line="564" w:lineRule="auto"/>
        <w:tabs>
          <w:tab w:leader="none" w:pos="103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evaluation of the synergies and/or long-term benefits of an acquired business; 25</w:t>
      </w:r>
    </w:p>
    <w:p>
      <w:pPr>
        <w:sectPr>
          <w:pgSz w:w="11900" w:h="16838" w:orient="portrait"/>
          <w:cols w:equalWidth="0" w:num="1">
            <w:col w:w="11420"/>
          </w:cols>
          <w:pgMar w:left="240" w:top="1009" w:right="239" w:bottom="1440" w:gutter="0" w:footer="0" w:header="0"/>
        </w:sectPr>
      </w:pPr>
    </w:p>
    <w:bookmarkStart w:id="27" w:name="page28"/>
    <w:bookmarkEnd w:id="27"/>
    <w:p>
      <w:pPr>
        <w:ind w:left="1040" w:hanging="411"/>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integrate acquired businesses into our operations as planned;</w:t>
      </w:r>
    </w:p>
    <w:p>
      <w:pPr>
        <w:spacing w:after="0" w:line="27"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our management’s attention;</w:t>
      </w:r>
    </w:p>
    <w:p>
      <w:pPr>
        <w:spacing w:after="0" w:line="9" w:lineRule="exact"/>
        <w:rPr>
          <w:rFonts w:ascii="Times New Roman" w:cs="Times New Roman" w:eastAsia="Times New Roman" w:hAnsi="Times New Roman"/>
          <w:sz w:val="18"/>
          <w:szCs w:val="18"/>
          <w:color w:val="auto"/>
        </w:rPr>
      </w:pPr>
    </w:p>
    <w:p>
      <w:pPr>
        <w:ind w:left="1040" w:right="340" w:hanging="411"/>
        <w:spacing w:after="0" w:line="250"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expenditures (including legal, accounting and due diligence expenses, higher administrative costs to support the acquired entities, information technology, personnel and other integration expenses);</w:t>
      </w:r>
    </w:p>
    <w:p>
      <w:pPr>
        <w:ind w:left="1040" w:hanging="411"/>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increased debt leverage;</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issuance of dilutive equity securities;</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arising from acquisition activity;</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goodwill or other intangible asset impairments; and</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problems or liabilities.</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run the risk that any new acquisitions may fail to perform in accordance with expectations, and that estimates of the costs of improvements and integration for such properties may prove inaccurate.</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We have recently acquired companies that were not subject to rules and regulations promulgated under the Sarbanes-Oxley Act of 2002, as amended (“Sarbanes-Oxley”), and, therefore, they may lack the internal controls of a U.S. public company, which could ultimately affect our ability to ensure compliance with the requirements of Section 404 of Sarbanes-Oxley</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have recently acquired companies that were not previously subject to the rules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regulations promulgated under Sarbanes-Oxley and accordingly were not required to establish and maintain an internal control infrastructure meeting the standards promulgated under Sarbanes-Oxley. Our assessment of and conclusion on the effectiveness of our internal control over financial reporting as of July 31, 2017 did not include the internal controls of Whistler Blackcomb and Stowe, both of which were acquired during our fiscal year ended July 31, 2017 and will be included in our assessment of and conclusion on the effectiveness of our internal control over financial reporting for the fiscal year ending July 31, 2018.</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our management will continue to review and evaluate the effectiveness of our internal controls in light of these acquisitions, we cannot provide any assurances that there will be no significant deficiencies or material weaknesses in our internal control over financial reporting. Any significant deficiencies or material weaknesses in the internal control structure of our acquired businesses may cause significant deficiencies or material weaknesses in our internal control over financial reporting, which could have a material adverse effect on our business and our ability to comply with Section 404 of the Sarbanes-Oxley Act.</w:t>
      </w:r>
    </w:p>
    <w:p>
      <w:pPr>
        <w:spacing w:after="0" w:line="1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Our international operations subject us to additional risks. </w:t>
      </w:r>
      <w:r>
        <w:rPr>
          <w:rFonts w:ascii="Times New Roman" w:cs="Times New Roman" w:eastAsia="Times New Roman" w:hAnsi="Times New Roman"/>
          <w:sz w:val="18"/>
          <w:szCs w:val="18"/>
          <w:color w:val="auto"/>
        </w:rPr>
        <w:t>As a result of the acquisitions of Perisher and Whistler Blackcomb and potential future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international acquisitions, we have larger operations outside of the United States. We are accordingly subject to a number of risks relating to doing business internationally, any of which could significantly harm our business. These risks include:</w:t>
      </w:r>
    </w:p>
    <w:p>
      <w:pPr>
        <w:spacing w:after="0" w:line="121"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 on the transfer of funds to and from foreign countries, including potentially negative tax consequences;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exposure to general market and economic conditions outside the United States;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political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international laws and regulations (including anti-corruption regulations, such as the U.S. Foreign Corrupt Practices Act);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security;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 treaties and policies.</w:t>
      </w:r>
    </w:p>
    <w:p>
      <w:pPr>
        <w:spacing w:after="0" w:line="1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Exchange rate fluctuations could result in significant foreign currency gains and losses and affect our business results. </w:t>
      </w:r>
      <w:r>
        <w:rPr>
          <w:rFonts w:ascii="Times New Roman" w:cs="Times New Roman" w:eastAsia="Times New Roman" w:hAnsi="Times New Roman"/>
          <w:sz w:val="18"/>
          <w:szCs w:val="18"/>
          <w:color w:val="auto"/>
        </w:rPr>
        <w:t>We are exposed to 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translation risk because the results of Whistler Blackcomb and Perisher are reported in their local currencies, which we then translate to U.S. dollars for inclusion in our consolidated financial statements. As a result, changes between the foreign exchange rates, in particular the Canadian dollar, Australian dollar and the U.S. dollar, affect the amounts we record for our foreign assets, liabilities, revenues and expenses, and could have a negative effect on our financial results. We currently do not enter into hedging arrangements to minimize the impact of foreign currency fluctuations. We expect that our exposure to foreign currency exchange rate fluctuations will increase as Whistler Blackcomb and Perisher grow and if we acquire other international resorts.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We are subject to accounting and tax regulations and use certain estimates and judgments that may differ significantly from actual results, including adverse determinations by tax authorities. </w:t>
      </w:r>
      <w:r>
        <w:rPr>
          <w:rFonts w:ascii="Times New Roman" w:cs="Times New Roman" w:eastAsia="Times New Roman" w:hAnsi="Times New Roman"/>
          <w:sz w:val="18"/>
          <w:szCs w:val="18"/>
          <w:color w:val="auto"/>
        </w:rPr>
        <w:t>Implementation of existing and future legislation, rulings, standards and interpretations from the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Standards Board (“FASB”) or other regulatory bodies could affect the presentation of our financial statements and related disclosures or could adversely impact our cash flows. Future regulatory requirements could significantly change our current accounting practices and disclosures. Such changes in the presentation of our financial statements and related disclosures could change an investor’s interpretation or perception of our financial position and results of operations.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013" w:right="239" w:bottom="1440" w:gutter="0" w:footer="0" w:header="0"/>
        </w:sectPr>
      </w:pPr>
    </w:p>
    <w:bookmarkStart w:id="28" w:name="page29"/>
    <w:bookmarkEnd w:id="28"/>
    <w:p>
      <w:pPr>
        <w:jc w:val="both"/>
        <w:spacing w:after="0" w:line="266" w:lineRule="auto"/>
        <w:rPr>
          <w:sz w:val="20"/>
          <w:szCs w:val="20"/>
          <w:color w:val="auto"/>
        </w:rPr>
      </w:pPr>
      <w:r>
        <w:rPr>
          <w:rFonts w:ascii="Times New Roman" w:cs="Times New Roman" w:eastAsia="Times New Roman" w:hAnsi="Times New Roman"/>
          <w:sz w:val="18"/>
          <w:szCs w:val="18"/>
          <w:color w:val="auto"/>
        </w:rPr>
        <w:t>We use many methods, estimates and judgments in applying our accounting policies (see “Critical Accounting Policies” in Item 7 of this Form 10-K). Such methods, estimates and judgments are, by their nature, subject to substantial risks, uncertainties and assumptions, and factors may arise over time that lead us to change our methods, estimates and judgments. Changes in those methods, estimates and judgments could significantly affect our results of operations.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taxes in multiple jurisdictions. Due to economic and political conditions, tax rates in various jurisdictions may be subject to significant change. Our effective tax rates could be affected by changes in the mix of earnings in countries with differing statutory tax rates, changes in the valuation of deferred tax assets and liabilities, or changes in tax laws or their interpretation.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subject to the examination of tax returns and other tax matters by the U.S. Internal Revenue Service (the "IRS") and other tax authorities and governmental bodies. We regularly assesses the likelihood of an adverse outcome resulting from these examinations to determine the adequacy of our provision for taxes. There can be no assurance as to the outcome of these examinations. If our effective tax rates were to increase or if the ultimate determination of our taxes owed is for an amount in excess of amounts previously accrued, our financial condition, operating results and cash flows could be adversely affected.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Capital Structure</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Our stock price is highly volatile. </w:t>
      </w:r>
      <w:r>
        <w:rPr>
          <w:rFonts w:ascii="Times New Roman" w:cs="Times New Roman" w:eastAsia="Times New Roman" w:hAnsi="Times New Roman"/>
          <w:sz w:val="18"/>
          <w:szCs w:val="18"/>
          <w:color w:val="auto"/>
        </w:rPr>
        <w:t>The market price of our stock is highly volatile and subject to wide fluctuations in response to factors such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some of which are beyond our control:</w:t>
      </w:r>
    </w:p>
    <w:p>
      <w:pPr>
        <w:spacing w:after="0" w:line="105" w:lineRule="exact"/>
        <w:rPr>
          <w:sz w:val="20"/>
          <w:szCs w:val="20"/>
          <w:color w:val="auto"/>
        </w:rPr>
      </w:pPr>
    </w:p>
    <w:p>
      <w:pPr>
        <w:ind w:left="1040" w:hanging="411"/>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operating results;</w:t>
      </w:r>
    </w:p>
    <w:p>
      <w:pPr>
        <w:spacing w:after="0" w:line="27"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results that vary from the expectations of securities analysts and investors;</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valuations, including our real estate held for sale;</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overall travel, gaming, hospitality and leisure industries;</w:t>
      </w:r>
    </w:p>
    <w:p>
      <w:pPr>
        <w:spacing w:after="0" w:line="9" w:lineRule="exact"/>
        <w:rPr>
          <w:rFonts w:ascii="Times New Roman" w:cs="Times New Roman" w:eastAsia="Times New Roman" w:hAnsi="Times New Roman"/>
          <w:sz w:val="18"/>
          <w:szCs w:val="18"/>
          <w:color w:val="auto"/>
        </w:rPr>
      </w:pPr>
    </w:p>
    <w:p>
      <w:pPr>
        <w:ind w:left="1040" w:hanging="411"/>
        <w:spacing w:after="0" w:line="250"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as to our future financial performance, including financial estimates by securities analysts and investors or such guidance provided by us;</w:t>
      </w:r>
    </w:p>
    <w:p>
      <w:pPr>
        <w:ind w:left="1040" w:right="20" w:hanging="411"/>
        <w:spacing w:after="0" w:line="250"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companies in the travel, gaming, hospitality and leisure industries of significant contracts, acquisitions, dispositions, strategic partnerships, joint ventures, capital commitments, plans, prospects, service offerings or operating results;</w:t>
      </w:r>
    </w:p>
    <w:p>
      <w:pPr>
        <w:ind w:left="1040" w:hanging="411"/>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securities;</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and volume fluctuations;</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as discussed herein; and</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unforeseen events.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markets in the U.S. have often experienced extreme price and volume fluctuations. Market fluctuations, as well as general political and economic conditions including acts of terrorism, military conflicts, prolonged economic uncertainty, a recession or interest rate or currency rate fluctuations, could adversely affect the market price of our stock.</w:t>
      </w:r>
    </w:p>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We cannot provide assurance that we will continue to increase dividend payments and/or pay dividends. </w:t>
      </w:r>
      <w:r>
        <w:rPr>
          <w:rFonts w:ascii="Times New Roman" w:cs="Times New Roman" w:eastAsia="Times New Roman" w:hAnsi="Times New Roman"/>
          <w:sz w:val="18"/>
          <w:szCs w:val="18"/>
          <w:color w:val="auto"/>
        </w:rPr>
        <w:t>In fiscal 2011, our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approved the commencement of a regular quarterly cash dividend on our common stock at an annual rate of $0.60 per share, subject to quarterly declaration. Since the initial commencement of a regular quarterly cash dividend, our Board of Directors has annually approved an increase to our cash dividend on our common stock. On March 9, 2017, our Board of Directors approved an increase to our quarterly cash dividend to $1.053 per share, subject to quarterly declaration. This dividend is anticipated to be funded through cash flow from operations, available cash on hand and borrowings under the revolver portion of the Seventh Amended and Restated Credit Agreement (“Vail Holdings Credit Agreement”). Although we anticipate paying regular quarterly dividends on our common stock for the foreseeable future, the declaration of dividends is subject to the discretion of our Board of Directors, and is limited by applicable state law concepts of available funds for distribution, as well as contractual restrictions. As a result, the amount, if any, of the dividends to be paid in the future will depend upon a number of factors, including our available cash on hand, anticipated cash needs, overall financial condition, restrictions contained in our senior credit facility, the Vail Holdings Credit Agreement, any future contractual restrictions, future prospects for earnings and cash flows, as well as other factors considered relevant by our Board of Directors. In addition, our Board of Directors may also suspend the payment of dividends at any time if it deems such action to be in the best interests of the Company and its stockholders. If we do not pay dividends, the price of our common stock must appreciate for investors to realize a gain on their investment in Vail Resorts, Inc. This appreciation may not occur and our stock may in fact depreciate in value.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013" w:right="239" w:bottom="1440" w:gutter="0" w:footer="0" w:header="0"/>
        </w:sectPr>
      </w:pPr>
    </w:p>
    <w:bookmarkStart w:id="29" w:name="page30"/>
    <w:bookmarkEnd w:id="29"/>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Anti-takeover provisions affecting us could prevent or delay a change of control that is beneficial to our stockholders. </w:t>
      </w:r>
      <w:r>
        <w:rPr>
          <w:rFonts w:ascii="Times New Roman" w:cs="Times New Roman" w:eastAsia="Times New Roman" w:hAnsi="Times New Roman"/>
          <w:sz w:val="18"/>
          <w:szCs w:val="18"/>
          <w:color w:val="auto"/>
        </w:rPr>
        <w:t>Provisions of our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and bylaws, provisions of our debt instruments and other agreements and provisions of applicable Delaware law and applicable federal and state regulations may discourage, delay or prevent a merger or other change of control that holders of our securities may consider favorable. These provisions could:</w:t>
      </w:r>
    </w:p>
    <w:p>
      <w:pPr>
        <w:spacing w:after="0" w:line="127" w:lineRule="exact"/>
        <w:rPr>
          <w:sz w:val="20"/>
          <w:szCs w:val="20"/>
          <w:color w:val="auto"/>
        </w:rPr>
      </w:pPr>
    </w:p>
    <w:p>
      <w:pPr>
        <w:ind w:left="1040" w:hanging="411"/>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 of our Company;</w:t>
      </w:r>
    </w:p>
    <w:p>
      <w:pPr>
        <w:spacing w:after="0" w:line="27"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discourage bids for our securities at a premium over the market price;</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market price of, and the voting and other rights of the holders of our securities; or</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impede the ability of the holders of our securities to change our management.</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Our indebtedness could adversely affect our financial health and prevent us from fulfilling our obligations. </w:t>
      </w:r>
      <w:r>
        <w:rPr>
          <w:rFonts w:ascii="Times New Roman" w:cs="Times New Roman" w:eastAsia="Times New Roman" w:hAnsi="Times New Roman"/>
          <w:sz w:val="18"/>
          <w:szCs w:val="18"/>
          <w:color w:val="auto"/>
        </w:rPr>
        <w:t>As of July 31, 2017, we had $1,276.5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of outstanding indebtedness, which includes $328.8 million for the Canyons Lease obligation. This amount also consists of $721.9 million of borrowings from the term loan facility under the Vail Holdings Credit Agreement used to pay the cash portion of the consideration and payment of associated fees and expenses of the Whistler Blackcomb acquisition, $50.0 million borrowings under the revolver portion of the Vail Holdings Credit Agreement, and $113.1 million of borrowings under Whistler Blackcomb’s credit facility, which we assumed as party of our acquisition of Whistler Blackcomb. Our borrowings under the Vail Holdings Credit Agreement are subject to interest rate changes substantially increasing our risk to changes in interest rates. Borrowings under the Vail Holdings Credit Agreement, including the term loan facility, currently bear interest at a rate of LIBOR plus 1.25% on an annual basis. Interest rate margins may fluctuate based upon the ratio of our Net Funded Debt to Adjusted EBITDA on a trailing four-quarter basis. We also have, on a cumulative basis, minimum lease payment obligations under operating leases of approximately $312.8 million as of July 31, 2017. Our level of indebtedness and minimum lease payment obligations could have important consequences. For example, it could:</w:t>
      </w:r>
    </w:p>
    <w:p>
      <w:pPr>
        <w:spacing w:after="0" w:line="136" w:lineRule="exact"/>
        <w:rPr>
          <w:sz w:val="20"/>
          <w:szCs w:val="20"/>
          <w:color w:val="auto"/>
        </w:rPr>
      </w:pPr>
    </w:p>
    <w:p>
      <w:pPr>
        <w:ind w:left="1040" w:hanging="411"/>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w:t>
      </w:r>
    </w:p>
    <w:p>
      <w:pPr>
        <w:spacing w:after="0" w:line="27"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9" w:lineRule="exact"/>
        <w:rPr>
          <w:rFonts w:ascii="Times New Roman" w:cs="Times New Roman" w:eastAsia="Times New Roman" w:hAnsi="Times New Roman"/>
          <w:sz w:val="18"/>
          <w:szCs w:val="18"/>
          <w:color w:val="auto"/>
        </w:rPr>
      </w:pPr>
    </w:p>
    <w:p>
      <w:pPr>
        <w:jc w:val="both"/>
        <w:ind w:left="1040" w:hanging="411"/>
        <w:spacing w:after="0" w:line="250"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indebtedness, including the annual payments under the Canyons lease, thereby reducing the availability of our cash flow to fund working capital, capital expenditures, real estate developments, marketing efforts and other general corporate purposes;</w:t>
      </w:r>
    </w:p>
    <w:p>
      <w:pPr>
        <w:spacing w:after="0" w:line="1"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 that have less debt; and</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be able to incur substantial additional indebtedness in the future. The terms of our senior credit facility do not fully prohibit us from doing so. If we incur additional debt, the related risks that we face could intensify.</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There are restrictions imposed by the terms of our indebtedness. </w:t>
      </w:r>
      <w:r>
        <w:rPr>
          <w:rFonts w:ascii="Times New Roman" w:cs="Times New Roman" w:eastAsia="Times New Roman" w:hAnsi="Times New Roman"/>
          <w:sz w:val="18"/>
          <w:szCs w:val="18"/>
          <w:color w:val="auto"/>
        </w:rPr>
        <w:t>The operating and financial restrictions and covenants in our credit agreements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adversely affect our ability to finance future operations or capital needs or to engage in other business activities and strategic initiatives that may be in our long-term best interests. For example, the credit agreements contain a number of restrictive covenants that impose significant operating and financial restrictions on us, including restrictions on our ability to, among other things:</w:t>
      </w:r>
    </w:p>
    <w:p>
      <w:pPr>
        <w:spacing w:after="0" w:line="127" w:lineRule="exact"/>
        <w:rPr>
          <w:sz w:val="20"/>
          <w:szCs w:val="20"/>
          <w:color w:val="auto"/>
        </w:rPr>
      </w:pPr>
    </w:p>
    <w:p>
      <w:pPr>
        <w:ind w:left="1040" w:hanging="411"/>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 or sell preferred stock;</w:t>
      </w:r>
    </w:p>
    <w:p>
      <w:pPr>
        <w:spacing w:after="0" w:line="27"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repurchase our stock and make other restricted payments;</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types of investments;</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sales of assets and subsidiary stock;</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sales-leaseback transactions;</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guarantees of debt;</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all or substantially all of our assets or enter into merger or consolidation transactions; and</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capital expenditures.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there can be no assurance that we will meet the financial covenants contained in our credit agreements. If we breach any of these restrictions or covenants, or suffer a material adverse change which restricts our borrowing ability under our senior credit facility, we would not be able to borrow funds thereunder without a waiver. Any inability to borrow could have an adverse effect on our business, financial condition and results of operations. In addition, a breach, if uncured, could cause a default under the senior credit facility and our other debt. Our indebtedness may then become immediately due and payable. We may not have or be able to obtain sufficient funds to make these accelerated payments.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008" w:right="239" w:bottom="1440" w:gutter="0" w:footer="0" w:header="0"/>
        </w:sectPr>
      </w:pPr>
    </w:p>
    <w:bookmarkStart w:id="30" w:name="page31"/>
    <w:bookmarkEnd w:id="30"/>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We cannot guarantee that we will repurchase our common stock pursuant to our share repurchase program or that our share repurchase program will enhance long-term stockholder value. Share repurchases could also increase the volatility of the price of our common stock and could diminish our cash reserves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March 2006, our Board of Directors approved a share repurchase program, authorizing the Company to repurchase up to 3,000,000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In July 2008, the Board of Directors increased the authorization by an additional 3,000,000 shares, and in December 2015, the Board increased the authorization by an additional 1,500,000 shares for a total authorization to repurchase shares of up to 7,500,000 shares. Since inception of its share repurchase program through July 31, 2017, the Company has repurchased 5,436,294 shares at a cost of approximately $247.2 million. As of July 31, 2017, 2,063,706 shares remained available to repurchase under the existing share repurchase program which has no expiration date.</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our Board of Directors has approved a share repurchase program, the share repurchase program does not obligate us to repurchase any specific dollar amount or to acquire any specific number of shares. The timing and amount of repurchases, if any, will depend upon several factors, including market and business conditions, the trading price of our common stock and the nature of other investment opportunities. The repurchase program may be limited, suspended or discontinued at any time without prior notice. In addition, repurchases of our common stock pursuant to our share repurchase program could cause our stock price to be higher than it would be in the absence of such a program and could potentially reduce the market liquidity for our stock. Additionally, our share repurchase program could diminish our cash reserves, which may impact our ability to finance future growth and to pursue possible future strategic opportunities and acquisitions. There can be no assurance that any share repurchases will enhance stockholder value because the market price of our common stock may decline below levels at which we repurchased shares of stock. Although our share repurchase program is intended to enhance long-term stockholder value, there is no assurance that it will do so and short-term stock price fluctuations could reduce the program's effectiveness.</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principal properties that we own or lease for use in our operations at fiscal year-end: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2540" w:type="dxa"/>
            <w:vAlign w:val="bottom"/>
          </w:tcPr>
          <w:p>
            <w:pPr>
              <w:ind w:left="134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516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Use</w:t>
            </w:r>
          </w:p>
        </w:tc>
      </w:tr>
      <w:tr>
        <w:trPr>
          <w:trHeight w:val="33"/>
        </w:trPr>
        <w:tc>
          <w:tcPr>
            <w:tcW w:w="37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09"/>
        </w:trPr>
        <w:tc>
          <w:tcPr>
            <w:tcW w:w="3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Afton Alps, MN</w:t>
            </w:r>
          </w:p>
        </w:tc>
        <w:tc>
          <w:tcPr>
            <w:tcW w:w="254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Owned</w:t>
            </w:r>
          </w:p>
        </w:tc>
        <w:tc>
          <w:tcPr>
            <w:tcW w:w="5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Ski resort operations, including ski lifts, ski trails, golf course,</w:t>
            </w:r>
          </w:p>
        </w:tc>
      </w:tr>
      <w:tr>
        <w:trPr>
          <w:trHeight w:val="223"/>
        </w:trPr>
        <w:tc>
          <w:tcPr>
            <w:tcW w:w="3720" w:type="dxa"/>
            <w:vAlign w:val="bottom"/>
            <w:tcBorders>
              <w:bottom w:val="single" w:sz="8" w:color="CCEEFF"/>
            </w:tcBorders>
            <w:shd w:val="clear" w:color="auto" w:fill="CCEEFF"/>
          </w:tcPr>
          <w:p>
            <w:pPr>
              <w:spacing w:after="0"/>
              <w:rPr>
                <w:sz w:val="19"/>
                <w:szCs w:val="19"/>
                <w:color w:val="auto"/>
              </w:rPr>
            </w:pPr>
          </w:p>
        </w:tc>
        <w:tc>
          <w:tcPr>
            <w:tcW w:w="2540" w:type="dxa"/>
            <w:vAlign w:val="bottom"/>
            <w:tcBorders>
              <w:bottom w:val="single" w:sz="8" w:color="CCEEFF"/>
            </w:tcBorders>
            <w:shd w:val="clear" w:color="auto" w:fill="CCEEFF"/>
          </w:tcPr>
          <w:p>
            <w:pPr>
              <w:spacing w:after="0"/>
              <w:rPr>
                <w:sz w:val="19"/>
                <w:szCs w:val="19"/>
                <w:color w:val="auto"/>
              </w:rPr>
            </w:pPr>
          </w:p>
        </w:tc>
        <w:tc>
          <w:tcPr>
            <w:tcW w:w="51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clubhouse, buildings, commercial space and other improvements</w:t>
            </w:r>
          </w:p>
        </w:tc>
      </w:tr>
      <w:tr>
        <w:trPr>
          <w:trHeight w:val="216"/>
        </w:trPr>
        <w:tc>
          <w:tcPr>
            <w:tcW w:w="3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Arrowhead Mountain, CO</w:t>
            </w:r>
          </w:p>
        </w:tc>
        <w:tc>
          <w:tcPr>
            <w:tcW w:w="254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Owned</w:t>
            </w:r>
          </w:p>
        </w:tc>
        <w:tc>
          <w:tcPr>
            <w:tcW w:w="51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10"/>
        </w:trPr>
        <w:tc>
          <w:tcPr>
            <w:tcW w:w="37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improvements, property management and commercial space</w:t>
            </w:r>
          </w:p>
        </w:tc>
      </w:tr>
      <w:tr>
        <w:trPr>
          <w:trHeight w:val="33"/>
        </w:trPr>
        <w:tc>
          <w:tcPr>
            <w:tcW w:w="37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37"/>
        </w:trPr>
        <w:tc>
          <w:tcPr>
            <w:tcW w:w="3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BC Housing RiverEdge, CO</w:t>
            </w:r>
          </w:p>
        </w:tc>
        <w:tc>
          <w:tcPr>
            <w:tcW w:w="2540" w:type="dxa"/>
            <w:vAlign w:val="bottom"/>
            <w:tcBorders>
              <w:bottom w:val="single" w:sz="8" w:color="CCEEFF"/>
            </w:tcBorders>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26% Owned</w:t>
            </w:r>
          </w:p>
        </w:tc>
        <w:tc>
          <w:tcPr>
            <w:tcW w:w="51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Employee housing facilities</w:t>
            </w:r>
          </w:p>
        </w:tc>
      </w:tr>
      <w:tr>
        <w:trPr>
          <w:trHeight w:val="216"/>
        </w:trPr>
        <w:tc>
          <w:tcPr>
            <w:tcW w:w="3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Bachelor Gulch Village, CO</w:t>
            </w:r>
          </w:p>
        </w:tc>
        <w:tc>
          <w:tcPr>
            <w:tcW w:w="254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Owned</w:t>
            </w:r>
          </w:p>
        </w:tc>
        <w:tc>
          <w:tcPr>
            <w:tcW w:w="51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10"/>
        </w:trPr>
        <w:tc>
          <w:tcPr>
            <w:tcW w:w="37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improvements, property management and commercial space</w:t>
            </w:r>
          </w:p>
        </w:tc>
      </w:tr>
      <w:tr>
        <w:trPr>
          <w:trHeight w:val="33"/>
        </w:trPr>
        <w:tc>
          <w:tcPr>
            <w:tcW w:w="37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16"/>
        </w:trPr>
        <w:tc>
          <w:tcPr>
            <w:tcW w:w="3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Beaver Creek Resort, CO</w:t>
            </w:r>
          </w:p>
        </w:tc>
        <w:tc>
          <w:tcPr>
            <w:tcW w:w="254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Owned</w:t>
            </w:r>
          </w:p>
        </w:tc>
        <w:tc>
          <w:tcPr>
            <w:tcW w:w="5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03"/>
        </w:trPr>
        <w:tc>
          <w:tcPr>
            <w:tcW w:w="372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5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improvements, property management, commercial space and real estate</w:t>
            </w:r>
          </w:p>
        </w:tc>
      </w:tr>
      <w:tr>
        <w:trPr>
          <w:trHeight w:val="223"/>
        </w:trPr>
        <w:tc>
          <w:tcPr>
            <w:tcW w:w="3720" w:type="dxa"/>
            <w:vAlign w:val="bottom"/>
            <w:tcBorders>
              <w:bottom w:val="single" w:sz="8" w:color="CCEEFF"/>
            </w:tcBorders>
            <w:shd w:val="clear" w:color="auto" w:fill="CCEEFF"/>
          </w:tcPr>
          <w:p>
            <w:pPr>
              <w:spacing w:after="0"/>
              <w:rPr>
                <w:sz w:val="19"/>
                <w:szCs w:val="19"/>
                <w:color w:val="auto"/>
              </w:rPr>
            </w:pPr>
          </w:p>
        </w:tc>
        <w:tc>
          <w:tcPr>
            <w:tcW w:w="2540" w:type="dxa"/>
            <w:vAlign w:val="bottom"/>
            <w:tcBorders>
              <w:bottom w:val="single" w:sz="8" w:color="CCEEFF"/>
            </w:tcBorders>
            <w:shd w:val="clear" w:color="auto" w:fill="CCEEFF"/>
          </w:tcPr>
          <w:p>
            <w:pPr>
              <w:spacing w:after="0"/>
              <w:rPr>
                <w:sz w:val="19"/>
                <w:szCs w:val="19"/>
                <w:color w:val="auto"/>
              </w:rPr>
            </w:pPr>
          </w:p>
        </w:tc>
        <w:tc>
          <w:tcPr>
            <w:tcW w:w="51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held for sale or development</w:t>
            </w:r>
          </w:p>
        </w:tc>
      </w:tr>
      <w:tr>
        <w:trPr>
          <w:trHeight w:val="216"/>
        </w:trPr>
        <w:tc>
          <w:tcPr>
            <w:tcW w:w="3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Beaver Creek Mountain, CO (3,849</w:t>
            </w:r>
          </w:p>
        </w:tc>
        <w:tc>
          <w:tcPr>
            <w:tcW w:w="254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SUP</w:t>
            </w:r>
          </w:p>
        </w:tc>
        <w:tc>
          <w:tcPr>
            <w:tcW w:w="51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210"/>
        </w:trPr>
        <w:tc>
          <w:tcPr>
            <w:tcW w:w="3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acres)</w:t>
            </w:r>
          </w:p>
        </w:tc>
        <w:tc>
          <w:tcPr>
            <w:tcW w:w="254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33"/>
        </w:trPr>
        <w:tc>
          <w:tcPr>
            <w:tcW w:w="37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16"/>
        </w:trPr>
        <w:tc>
          <w:tcPr>
            <w:tcW w:w="3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Beaver Creek Mountain Resort, CO</w:t>
            </w:r>
          </w:p>
        </w:tc>
        <w:tc>
          <w:tcPr>
            <w:tcW w:w="254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Owned</w:t>
            </w:r>
          </w:p>
        </w:tc>
        <w:tc>
          <w:tcPr>
            <w:tcW w:w="5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Golf course, clubhouse, commercial space and residential condominium</w:t>
            </w:r>
          </w:p>
        </w:tc>
      </w:tr>
      <w:tr>
        <w:trPr>
          <w:trHeight w:val="223"/>
        </w:trPr>
        <w:tc>
          <w:tcPr>
            <w:tcW w:w="3720" w:type="dxa"/>
            <w:vAlign w:val="bottom"/>
            <w:tcBorders>
              <w:bottom w:val="single" w:sz="8" w:color="CCEEFF"/>
            </w:tcBorders>
            <w:shd w:val="clear" w:color="auto" w:fill="CCEEFF"/>
          </w:tcPr>
          <w:p>
            <w:pPr>
              <w:spacing w:after="0"/>
              <w:rPr>
                <w:sz w:val="19"/>
                <w:szCs w:val="19"/>
                <w:color w:val="auto"/>
              </w:rPr>
            </w:pPr>
          </w:p>
        </w:tc>
        <w:tc>
          <w:tcPr>
            <w:tcW w:w="2540" w:type="dxa"/>
            <w:vAlign w:val="bottom"/>
            <w:tcBorders>
              <w:bottom w:val="single" w:sz="8" w:color="CCEEFF"/>
            </w:tcBorders>
            <w:shd w:val="clear" w:color="auto" w:fill="CCEEFF"/>
          </w:tcPr>
          <w:p>
            <w:pPr>
              <w:spacing w:after="0"/>
              <w:rPr>
                <w:sz w:val="19"/>
                <w:szCs w:val="19"/>
                <w:color w:val="auto"/>
              </w:rPr>
            </w:pPr>
          </w:p>
        </w:tc>
        <w:tc>
          <w:tcPr>
            <w:tcW w:w="51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units</w:t>
            </w:r>
          </w:p>
        </w:tc>
      </w:tr>
      <w:tr>
        <w:trPr>
          <w:trHeight w:val="216"/>
        </w:trPr>
        <w:tc>
          <w:tcPr>
            <w:tcW w:w="3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Breckenridge Ski Resort, CO</w:t>
            </w:r>
          </w:p>
        </w:tc>
        <w:tc>
          <w:tcPr>
            <w:tcW w:w="254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Owned</w:t>
            </w:r>
          </w:p>
        </w:tc>
        <w:tc>
          <w:tcPr>
            <w:tcW w:w="51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03"/>
        </w:trPr>
        <w:tc>
          <w:tcPr>
            <w:tcW w:w="37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1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improvements, property management, commercial space and real estate</w:t>
            </w:r>
          </w:p>
        </w:tc>
      </w:tr>
      <w:tr>
        <w:trPr>
          <w:trHeight w:val="210"/>
        </w:trPr>
        <w:tc>
          <w:tcPr>
            <w:tcW w:w="37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held for sale or development</w:t>
            </w:r>
          </w:p>
        </w:tc>
      </w:tr>
      <w:tr>
        <w:trPr>
          <w:trHeight w:val="33"/>
        </w:trPr>
        <w:tc>
          <w:tcPr>
            <w:tcW w:w="37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16"/>
        </w:trPr>
        <w:tc>
          <w:tcPr>
            <w:tcW w:w="3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Breckenridge Mountain, CO (5,702</w:t>
            </w:r>
          </w:p>
        </w:tc>
        <w:tc>
          <w:tcPr>
            <w:tcW w:w="254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SUP</w:t>
            </w:r>
          </w:p>
        </w:tc>
        <w:tc>
          <w:tcPr>
            <w:tcW w:w="5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223"/>
        </w:trPr>
        <w:tc>
          <w:tcPr>
            <w:tcW w:w="3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acres)</w:t>
            </w:r>
          </w:p>
        </w:tc>
        <w:tc>
          <w:tcPr>
            <w:tcW w:w="2540" w:type="dxa"/>
            <w:vAlign w:val="bottom"/>
            <w:tcBorders>
              <w:bottom w:val="single" w:sz="8" w:color="CCEEFF"/>
            </w:tcBorders>
            <w:shd w:val="clear" w:color="auto" w:fill="CCEEFF"/>
          </w:tcPr>
          <w:p>
            <w:pPr>
              <w:spacing w:after="0"/>
              <w:rPr>
                <w:sz w:val="19"/>
                <w:szCs w:val="19"/>
                <w:color w:val="auto"/>
              </w:rPr>
            </w:pPr>
          </w:p>
        </w:tc>
        <w:tc>
          <w:tcPr>
            <w:tcW w:w="5160" w:type="dxa"/>
            <w:vAlign w:val="bottom"/>
            <w:tcBorders>
              <w:bottom w:val="single" w:sz="8" w:color="CCEEFF"/>
            </w:tcBorders>
            <w:shd w:val="clear" w:color="auto" w:fill="CCEEFF"/>
          </w:tcPr>
          <w:p>
            <w:pPr>
              <w:spacing w:after="0"/>
              <w:rPr>
                <w:sz w:val="19"/>
                <w:szCs w:val="19"/>
                <w:color w:val="auto"/>
              </w:rPr>
            </w:pPr>
          </w:p>
        </w:tc>
      </w:tr>
      <w:tr>
        <w:trPr>
          <w:trHeight w:val="224"/>
        </w:trPr>
        <w:tc>
          <w:tcPr>
            <w:tcW w:w="3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Breckenridge Terrace, CO</w:t>
            </w:r>
          </w:p>
        </w:tc>
        <w:tc>
          <w:tcPr>
            <w:tcW w:w="254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50% Owned</w:t>
            </w:r>
          </w:p>
        </w:tc>
        <w:tc>
          <w:tcPr>
            <w:tcW w:w="51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Employee housing facilities</w:t>
            </w:r>
          </w:p>
        </w:tc>
      </w:tr>
      <w:tr>
        <w:trPr>
          <w:trHeight w:val="33"/>
        </w:trPr>
        <w:tc>
          <w:tcPr>
            <w:tcW w:w="37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37"/>
        </w:trPr>
        <w:tc>
          <w:tcPr>
            <w:tcW w:w="3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Broomfield, CO</w:t>
            </w:r>
          </w:p>
        </w:tc>
        <w:tc>
          <w:tcPr>
            <w:tcW w:w="2540" w:type="dxa"/>
            <w:vAlign w:val="bottom"/>
            <w:tcBorders>
              <w:bottom w:val="single" w:sz="8" w:color="CCEEFF"/>
            </w:tcBorders>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Leased</w:t>
            </w:r>
          </w:p>
        </w:tc>
        <w:tc>
          <w:tcPr>
            <w:tcW w:w="51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Corporate offices</w:t>
            </w:r>
          </w:p>
        </w:tc>
      </w:tr>
      <w:tr>
        <w:trPr>
          <w:trHeight w:val="224"/>
        </w:trPr>
        <w:tc>
          <w:tcPr>
            <w:tcW w:w="3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Colter Bay Village, WY</w:t>
            </w:r>
          </w:p>
        </w:tc>
        <w:tc>
          <w:tcPr>
            <w:tcW w:w="7700" w:type="dxa"/>
            <w:vAlign w:val="bottom"/>
            <w:gridSpan w:val="2"/>
          </w:tcPr>
          <w:p>
            <w:pPr>
              <w:ind w:left="1340"/>
              <w:spacing w:after="0"/>
              <w:rPr>
                <w:sz w:val="20"/>
                <w:szCs w:val="20"/>
                <w:color w:val="auto"/>
              </w:rPr>
            </w:pPr>
            <w:r>
              <w:rPr>
                <w:rFonts w:ascii="Times New Roman" w:cs="Times New Roman" w:eastAsia="Times New Roman" w:hAnsi="Times New Roman"/>
                <w:sz w:val="16"/>
                <w:szCs w:val="16"/>
                <w:color w:val="auto"/>
              </w:rPr>
              <w:t>Concessionaire contract Lodging and dining facilities</w:t>
            </w:r>
          </w:p>
        </w:tc>
      </w:tr>
      <w:tr>
        <w:trPr>
          <w:trHeight w:val="33"/>
        </w:trPr>
        <w:tc>
          <w:tcPr>
            <w:tcW w:w="37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37"/>
        </w:trPr>
        <w:tc>
          <w:tcPr>
            <w:tcW w:w="3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Eagle-Vail, CO</w:t>
            </w:r>
          </w:p>
        </w:tc>
        <w:tc>
          <w:tcPr>
            <w:tcW w:w="2540" w:type="dxa"/>
            <w:vAlign w:val="bottom"/>
            <w:tcBorders>
              <w:bottom w:val="single" w:sz="8" w:color="CCEEFF"/>
            </w:tcBorders>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Owned</w:t>
            </w:r>
          </w:p>
        </w:tc>
        <w:tc>
          <w:tcPr>
            <w:tcW w:w="51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Warehouse facility</w:t>
            </w:r>
          </w:p>
        </w:tc>
      </w:tr>
      <w:tr>
        <w:trPr>
          <w:trHeight w:val="224"/>
        </w:trPr>
        <w:tc>
          <w:tcPr>
            <w:tcW w:w="3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Edwards, CO</w:t>
            </w:r>
          </w:p>
        </w:tc>
        <w:tc>
          <w:tcPr>
            <w:tcW w:w="254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Leased</w:t>
            </w:r>
          </w:p>
        </w:tc>
        <w:tc>
          <w:tcPr>
            <w:tcW w:w="51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Administrative offices</w:t>
            </w:r>
          </w:p>
        </w:tc>
      </w:tr>
    </w:tbl>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008"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2"/>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2500" w:type="dxa"/>
            <w:vAlign w:val="bottom"/>
          </w:tcPr>
          <w:p>
            <w:pPr>
              <w:ind w:left="82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Use</w:t>
            </w:r>
          </w:p>
        </w:tc>
        <w:tc>
          <w:tcPr>
            <w:tcW w:w="0" w:type="dxa"/>
            <w:vAlign w:val="bottom"/>
          </w:tcPr>
          <w:p>
            <w:pPr>
              <w:spacing w:after="0"/>
              <w:rPr>
                <w:sz w:val="1"/>
                <w:szCs w:val="1"/>
                <w:color w:val="auto"/>
              </w:rPr>
            </w:pPr>
          </w:p>
        </w:tc>
      </w:tr>
      <w:tr>
        <w:trPr>
          <w:trHeight w:val="33"/>
        </w:trPr>
        <w:tc>
          <w:tcPr>
            <w:tcW w:w="41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DoubleTree by Hilton Breckenridge, CO</w:t>
            </w:r>
          </w:p>
        </w:tc>
        <w:tc>
          <w:tcPr>
            <w:tcW w:w="25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Owned</w:t>
            </w:r>
          </w:p>
        </w:tc>
        <w:tc>
          <w:tcPr>
            <w:tcW w:w="4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Lodging, dining and conference facilities</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Headwaters Lodge &amp; Cabins at Flagg Ranch, WY</w:t>
            </w:r>
          </w:p>
        </w:tc>
        <w:tc>
          <w:tcPr>
            <w:tcW w:w="250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Concessionaire contract</w:t>
            </w:r>
          </w:p>
        </w:tc>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Lodging and dining facilities</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Heavenly Mountain Resort, CA &amp; NV</w:t>
            </w:r>
          </w:p>
        </w:tc>
        <w:tc>
          <w:tcPr>
            <w:tcW w:w="25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Owned</w:t>
            </w:r>
          </w:p>
        </w:tc>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shd w:val="clear" w:color="auto" w:fill="CCEEFF"/>
          </w:tcPr>
          <w:p>
            <w:pPr>
              <w:spacing w:after="0"/>
              <w:rPr>
                <w:sz w:val="19"/>
                <w:szCs w:val="19"/>
                <w:color w:val="auto"/>
              </w:rPr>
            </w:pPr>
          </w:p>
        </w:tc>
        <w:tc>
          <w:tcPr>
            <w:tcW w:w="2500" w:type="dxa"/>
            <w:vAlign w:val="bottom"/>
            <w:tcBorders>
              <w:bottom w:val="single" w:sz="8" w:color="CCEEFF"/>
            </w:tcBorders>
            <w:shd w:val="clear" w:color="auto" w:fill="CCEEFF"/>
          </w:tcPr>
          <w:p>
            <w:pPr>
              <w:spacing w:after="0"/>
              <w:rPr>
                <w:sz w:val="19"/>
                <w:szCs w:val="19"/>
                <w:color w:val="auto"/>
              </w:rPr>
            </w:pPr>
          </w:p>
        </w:tc>
        <w:tc>
          <w:tcPr>
            <w:tcW w:w="4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improvements and commercial space</w:t>
            </w:r>
          </w:p>
        </w:tc>
        <w:tc>
          <w:tcPr>
            <w:tcW w:w="0" w:type="dxa"/>
            <w:vAlign w:val="bottom"/>
          </w:tcPr>
          <w:p>
            <w:pPr>
              <w:spacing w:after="0"/>
              <w:rPr>
                <w:sz w:val="1"/>
                <w:szCs w:val="1"/>
                <w:color w:val="auto"/>
              </w:rPr>
            </w:pPr>
          </w:p>
        </w:tc>
      </w:tr>
      <w:tr>
        <w:trPr>
          <w:trHeight w:val="216"/>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Heavenly Mountain, CA &amp; NV</w:t>
            </w:r>
          </w:p>
        </w:tc>
        <w:tc>
          <w:tcPr>
            <w:tcW w:w="250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SUP</w:t>
            </w:r>
          </w:p>
        </w:tc>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c>
          <w:tcPr>
            <w:tcW w:w="0" w:type="dxa"/>
            <w:vAlign w:val="bottom"/>
          </w:tcPr>
          <w:p>
            <w:pPr>
              <w:spacing w:after="0"/>
              <w:rPr>
                <w:sz w:val="1"/>
                <w:szCs w:val="1"/>
                <w:color w:val="auto"/>
              </w:rPr>
            </w:pPr>
          </w:p>
        </w:tc>
      </w:tr>
      <w:tr>
        <w:trPr>
          <w:trHeight w:val="210"/>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(7,050 acres)</w:t>
            </w:r>
          </w:p>
        </w:tc>
        <w:tc>
          <w:tcPr>
            <w:tcW w:w="25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Jackson Hole Golf &amp; Tennis Club,</w:t>
            </w:r>
          </w:p>
        </w:tc>
        <w:tc>
          <w:tcPr>
            <w:tcW w:w="25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Owned</w:t>
            </w:r>
          </w:p>
        </w:tc>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Golf course, clubhouse, tennis facilities, dining and real estate held for</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WY</w:t>
            </w:r>
          </w:p>
        </w:tc>
        <w:tc>
          <w:tcPr>
            <w:tcW w:w="2500" w:type="dxa"/>
            <w:vAlign w:val="bottom"/>
            <w:tcBorders>
              <w:bottom w:val="single" w:sz="8" w:color="CCEEFF"/>
            </w:tcBorders>
            <w:shd w:val="clear" w:color="auto" w:fill="CCEEFF"/>
          </w:tcPr>
          <w:p>
            <w:pPr>
              <w:spacing w:after="0"/>
              <w:rPr>
                <w:sz w:val="19"/>
                <w:szCs w:val="19"/>
                <w:color w:val="auto"/>
              </w:rPr>
            </w:pPr>
          </w:p>
        </w:tc>
        <w:tc>
          <w:tcPr>
            <w:tcW w:w="4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 or development</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Jackson Lake Lodge, WY</w:t>
            </w:r>
          </w:p>
        </w:tc>
        <w:tc>
          <w:tcPr>
            <w:tcW w:w="250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Concessionaire contract</w:t>
            </w:r>
          </w:p>
        </w:tc>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Lodging, dining and conference facilities</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Jenny Lake Lodge, WY</w:t>
            </w:r>
          </w:p>
        </w:tc>
        <w:tc>
          <w:tcPr>
            <w:tcW w:w="25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Concessionaire contract</w:t>
            </w:r>
          </w:p>
        </w:tc>
        <w:tc>
          <w:tcPr>
            <w:tcW w:w="4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Lodging and dining facilities</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Keystone Conference Center, CO</w:t>
            </w:r>
          </w:p>
        </w:tc>
        <w:tc>
          <w:tcPr>
            <w:tcW w:w="250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Owned</w:t>
            </w:r>
          </w:p>
        </w:tc>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Conference facility</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Keystone Lodge, CO</w:t>
            </w:r>
          </w:p>
        </w:tc>
        <w:tc>
          <w:tcPr>
            <w:tcW w:w="25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Owned</w:t>
            </w:r>
          </w:p>
        </w:tc>
        <w:tc>
          <w:tcPr>
            <w:tcW w:w="4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Lodging, spa, dining and conference facilities</w:t>
            </w:r>
          </w:p>
        </w:tc>
        <w:tc>
          <w:tcPr>
            <w:tcW w:w="0" w:type="dxa"/>
            <w:vAlign w:val="bottom"/>
          </w:tcPr>
          <w:p>
            <w:pPr>
              <w:spacing w:after="0"/>
              <w:rPr>
                <w:sz w:val="1"/>
                <w:szCs w:val="1"/>
                <w:color w:val="auto"/>
              </w:rPr>
            </w:pPr>
          </w:p>
        </w:tc>
      </w:tr>
      <w:tr>
        <w:trPr>
          <w:trHeight w:val="216"/>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Keystone Resort, CO</w:t>
            </w:r>
          </w:p>
        </w:tc>
        <w:tc>
          <w:tcPr>
            <w:tcW w:w="250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Owned</w:t>
            </w:r>
          </w:p>
        </w:tc>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improvements, commercial space, property management, dining and</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real estate held for sale or development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Keystone Mountain, CO (8,376 acres)</w:t>
            </w:r>
          </w:p>
        </w:tc>
        <w:tc>
          <w:tcPr>
            <w:tcW w:w="25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SUP</w:t>
            </w:r>
          </w:p>
        </w:tc>
        <w:tc>
          <w:tcPr>
            <w:tcW w:w="4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Keystone Ranch, CO</w:t>
            </w:r>
          </w:p>
        </w:tc>
        <w:tc>
          <w:tcPr>
            <w:tcW w:w="250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Owned</w:t>
            </w:r>
          </w:p>
        </w:tc>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Golf course, clubhouse and dining facilities</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Kirkwood Mountain Resort, CA</w:t>
            </w:r>
          </w:p>
        </w:tc>
        <w:tc>
          <w:tcPr>
            <w:tcW w:w="25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Owned</w:t>
            </w:r>
          </w:p>
        </w:tc>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shd w:val="clear" w:color="auto" w:fill="CCEEFF"/>
          </w:tcPr>
          <w:p>
            <w:pPr>
              <w:spacing w:after="0"/>
              <w:rPr>
                <w:sz w:val="19"/>
                <w:szCs w:val="19"/>
                <w:color w:val="auto"/>
              </w:rPr>
            </w:pPr>
          </w:p>
        </w:tc>
        <w:tc>
          <w:tcPr>
            <w:tcW w:w="2500" w:type="dxa"/>
            <w:vAlign w:val="bottom"/>
            <w:tcBorders>
              <w:bottom w:val="single" w:sz="8" w:color="CCEEFF"/>
            </w:tcBorders>
            <w:shd w:val="clear" w:color="auto" w:fill="CCEEFF"/>
          </w:tcPr>
          <w:p>
            <w:pPr>
              <w:spacing w:after="0"/>
              <w:rPr>
                <w:sz w:val="19"/>
                <w:szCs w:val="19"/>
                <w:color w:val="auto"/>
              </w:rPr>
            </w:pPr>
          </w:p>
        </w:tc>
        <w:tc>
          <w:tcPr>
            <w:tcW w:w="4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improvements, property management and commercial space</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Kirkwood Mountain, CA (2,330 acres)</w:t>
            </w:r>
          </w:p>
        </w:tc>
        <w:tc>
          <w:tcPr>
            <w:tcW w:w="250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SUP</w:t>
            </w:r>
          </w:p>
        </w:tc>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Mt. Brighton, MI</w:t>
            </w:r>
          </w:p>
        </w:tc>
        <w:tc>
          <w:tcPr>
            <w:tcW w:w="25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Owned</w:t>
            </w:r>
          </w:p>
        </w:tc>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Ski resort operations, including ski lifts, ski trails, golf course,</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shd w:val="clear" w:color="auto" w:fill="CCEEFF"/>
          </w:tcPr>
          <w:p>
            <w:pPr>
              <w:spacing w:after="0"/>
              <w:rPr>
                <w:sz w:val="19"/>
                <w:szCs w:val="19"/>
                <w:color w:val="auto"/>
              </w:rPr>
            </w:pPr>
          </w:p>
        </w:tc>
        <w:tc>
          <w:tcPr>
            <w:tcW w:w="2500" w:type="dxa"/>
            <w:vAlign w:val="bottom"/>
            <w:tcBorders>
              <w:bottom w:val="single" w:sz="8" w:color="CCEEFF"/>
            </w:tcBorders>
            <w:shd w:val="clear" w:color="auto" w:fill="CCEEFF"/>
          </w:tcPr>
          <w:p>
            <w:pPr>
              <w:spacing w:after="0"/>
              <w:rPr>
                <w:sz w:val="19"/>
                <w:szCs w:val="19"/>
                <w:color w:val="auto"/>
              </w:rPr>
            </w:pPr>
          </w:p>
        </w:tc>
        <w:tc>
          <w:tcPr>
            <w:tcW w:w="4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clubhouse, buildings, commercial space and other improvements</w:t>
            </w:r>
          </w:p>
        </w:tc>
        <w:tc>
          <w:tcPr>
            <w:tcW w:w="0" w:type="dxa"/>
            <w:vAlign w:val="bottom"/>
          </w:tcPr>
          <w:p>
            <w:pPr>
              <w:spacing w:after="0"/>
              <w:rPr>
                <w:sz w:val="1"/>
                <w:szCs w:val="1"/>
                <w:color w:val="auto"/>
              </w:rPr>
            </w:pPr>
          </w:p>
        </w:tc>
      </w:tr>
      <w:tr>
        <w:trPr>
          <w:trHeight w:val="216"/>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Northstar California Resort, CA</w:t>
            </w:r>
          </w:p>
        </w:tc>
        <w:tc>
          <w:tcPr>
            <w:tcW w:w="2500" w:type="dxa"/>
            <w:vAlign w:val="bottom"/>
          </w:tcPr>
          <w:p>
            <w:pPr>
              <w:ind w:left="820"/>
              <w:spacing w:after="0" w:line="216" w:lineRule="exact"/>
              <w:rPr>
                <w:sz w:val="20"/>
                <w:szCs w:val="20"/>
                <w:color w:val="auto"/>
              </w:rPr>
            </w:pPr>
            <w:r>
              <w:rPr>
                <w:rFonts w:ascii="Times New Roman" w:cs="Times New Roman" w:eastAsia="Times New Roman" w:hAnsi="Times New Roman"/>
                <w:sz w:val="16"/>
                <w:szCs w:val="16"/>
                <w:color w:val="auto"/>
              </w:rPr>
              <w:t xml:space="preserve">Leased </w:t>
            </w:r>
            <w:r>
              <w:rPr>
                <w:rFonts w:ascii="Times New Roman" w:cs="Times New Roman" w:eastAsia="Times New Roman" w:hAnsi="Times New Roman"/>
                <w:sz w:val="21"/>
                <w:szCs w:val="21"/>
                <w:color w:val="auto"/>
                <w:vertAlign w:val="superscript"/>
              </w:rPr>
              <w:t>(1)</w:t>
            </w:r>
          </w:p>
        </w:tc>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Ski trails, ski lifts, golf course, commercial space, dining facilities,</w:t>
            </w:r>
          </w:p>
        </w:tc>
        <w:tc>
          <w:tcPr>
            <w:tcW w:w="0" w:type="dxa"/>
            <w:vAlign w:val="bottom"/>
          </w:tcPr>
          <w:p>
            <w:pPr>
              <w:spacing w:after="0"/>
              <w:rPr>
                <w:sz w:val="1"/>
                <w:szCs w:val="1"/>
                <w:color w:val="auto"/>
              </w:rPr>
            </w:pPr>
          </w:p>
        </w:tc>
      </w:tr>
      <w:tr>
        <w:trPr>
          <w:trHeight w:val="210"/>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(7,200 acres)</w:t>
            </w:r>
          </w:p>
        </w:tc>
        <w:tc>
          <w:tcPr>
            <w:tcW w:w="250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buildings and other improvements</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Northstar Village, CA</w:t>
            </w:r>
          </w:p>
        </w:tc>
        <w:tc>
          <w:tcPr>
            <w:tcW w:w="2500" w:type="dxa"/>
            <w:vAlign w:val="bottom"/>
            <w:shd w:val="clear" w:color="auto" w:fill="CCEEFF"/>
          </w:tcPr>
          <w:p>
            <w:pPr>
              <w:ind w:left="820"/>
              <w:spacing w:after="0" w:line="216" w:lineRule="exact"/>
              <w:rPr>
                <w:sz w:val="20"/>
                <w:szCs w:val="20"/>
                <w:color w:val="auto"/>
              </w:rPr>
            </w:pPr>
            <w:r>
              <w:rPr>
                <w:rFonts w:ascii="Times New Roman" w:cs="Times New Roman" w:eastAsia="Times New Roman" w:hAnsi="Times New Roman"/>
                <w:sz w:val="16"/>
                <w:szCs w:val="16"/>
                <w:color w:val="auto"/>
              </w:rPr>
              <w:t xml:space="preserve">Leased </w:t>
            </w:r>
            <w:r>
              <w:rPr>
                <w:rFonts w:ascii="Times New Roman" w:cs="Times New Roman" w:eastAsia="Times New Roman" w:hAnsi="Times New Roman"/>
                <w:sz w:val="21"/>
                <w:szCs w:val="21"/>
                <w:color w:val="auto"/>
                <w:vertAlign w:val="superscript"/>
              </w:rPr>
              <w:t>(1)</w:t>
            </w:r>
          </w:p>
        </w:tc>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Commercial space, ski resort operations, dining facilities, buildings,</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shd w:val="clear" w:color="auto" w:fill="CCEEFF"/>
          </w:tcPr>
          <w:p>
            <w:pPr>
              <w:spacing w:after="0"/>
              <w:rPr>
                <w:sz w:val="19"/>
                <w:szCs w:val="19"/>
                <w:color w:val="auto"/>
              </w:rPr>
            </w:pPr>
          </w:p>
        </w:tc>
        <w:tc>
          <w:tcPr>
            <w:tcW w:w="2500" w:type="dxa"/>
            <w:vAlign w:val="bottom"/>
            <w:tcBorders>
              <w:bottom w:val="single" w:sz="8" w:color="CCEEFF"/>
            </w:tcBorders>
            <w:shd w:val="clear" w:color="auto" w:fill="CCEEFF"/>
          </w:tcPr>
          <w:p>
            <w:pPr>
              <w:spacing w:after="0"/>
              <w:rPr>
                <w:sz w:val="19"/>
                <w:szCs w:val="19"/>
                <w:color w:val="auto"/>
              </w:rPr>
            </w:pPr>
          </w:p>
        </w:tc>
        <w:tc>
          <w:tcPr>
            <w:tcW w:w="4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property management and other improvements</w:t>
            </w:r>
          </w:p>
        </w:tc>
        <w:tc>
          <w:tcPr>
            <w:tcW w:w="0" w:type="dxa"/>
            <w:vAlign w:val="bottom"/>
          </w:tcPr>
          <w:p>
            <w:pPr>
              <w:spacing w:after="0"/>
              <w:rPr>
                <w:sz w:val="1"/>
                <w:szCs w:val="1"/>
                <w:color w:val="auto"/>
              </w:rPr>
            </w:pPr>
          </w:p>
        </w:tc>
      </w:tr>
      <w:tr>
        <w:trPr>
          <w:trHeight w:val="216"/>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Park City Mountain, UT</w:t>
            </w:r>
          </w:p>
        </w:tc>
        <w:tc>
          <w:tcPr>
            <w:tcW w:w="2500" w:type="dxa"/>
            <w:vAlign w:val="bottom"/>
          </w:tcPr>
          <w:p>
            <w:pPr>
              <w:ind w:left="820"/>
              <w:spacing w:after="0" w:line="216" w:lineRule="exact"/>
              <w:rPr>
                <w:sz w:val="20"/>
                <w:szCs w:val="20"/>
                <w:color w:val="auto"/>
              </w:rPr>
            </w:pPr>
            <w:r>
              <w:rPr>
                <w:rFonts w:ascii="Times New Roman" w:cs="Times New Roman" w:eastAsia="Times New Roman" w:hAnsi="Times New Roman"/>
                <w:sz w:val="16"/>
                <w:szCs w:val="16"/>
                <w:color w:val="auto"/>
              </w:rPr>
              <w:t xml:space="preserve">Leased </w:t>
            </w:r>
            <w:r>
              <w:rPr>
                <w:rFonts w:ascii="Times New Roman" w:cs="Times New Roman" w:eastAsia="Times New Roman" w:hAnsi="Times New Roman"/>
                <w:sz w:val="21"/>
                <w:szCs w:val="21"/>
                <w:color w:val="auto"/>
                <w:vertAlign w:val="superscript"/>
              </w:rPr>
              <w:t>(2)</w:t>
            </w:r>
          </w:p>
        </w:tc>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Ski resort operations including ski lifts, ski trails, buildings,</w:t>
            </w:r>
          </w:p>
        </w:tc>
        <w:tc>
          <w:tcPr>
            <w:tcW w:w="0" w:type="dxa"/>
            <w:vAlign w:val="bottom"/>
          </w:tcPr>
          <w:p>
            <w:pPr>
              <w:spacing w:after="0"/>
              <w:rPr>
                <w:sz w:val="1"/>
                <w:szCs w:val="1"/>
                <w:color w:val="auto"/>
              </w:rPr>
            </w:pPr>
          </w:p>
        </w:tc>
      </w:tr>
      <w:tr>
        <w:trPr>
          <w:trHeight w:val="210"/>
        </w:trPr>
        <w:tc>
          <w:tcPr>
            <w:tcW w:w="41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(8,900 acres)</w:t>
            </w:r>
          </w:p>
        </w:tc>
        <w:tc>
          <w:tcPr>
            <w:tcW w:w="250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commercial space, dining facilities, property management, conference</w:t>
            </w:r>
          </w:p>
        </w:tc>
        <w:tc>
          <w:tcPr>
            <w:tcW w:w="0" w:type="dxa"/>
            <w:vAlign w:val="bottom"/>
          </w:tcPr>
          <w:p>
            <w:pPr>
              <w:spacing w:after="0"/>
              <w:rPr>
                <w:sz w:val="1"/>
                <w:szCs w:val="1"/>
                <w:color w:val="auto"/>
              </w:rPr>
            </w:pPr>
          </w:p>
        </w:tc>
      </w:tr>
      <w:tr>
        <w:trPr>
          <w:trHeight w:val="54"/>
        </w:trPr>
        <w:tc>
          <w:tcPr>
            <w:tcW w:w="4120" w:type="dxa"/>
            <w:vAlign w:val="bottom"/>
            <w:vMerge w:val="continue"/>
          </w:tcPr>
          <w:p>
            <w:pPr>
              <w:spacing w:after="0"/>
              <w:rPr>
                <w:sz w:val="4"/>
                <w:szCs w:val="4"/>
                <w:color w:val="auto"/>
              </w:rPr>
            </w:pPr>
          </w:p>
        </w:tc>
        <w:tc>
          <w:tcPr>
            <w:tcW w:w="2500" w:type="dxa"/>
            <w:vAlign w:val="bottom"/>
          </w:tcPr>
          <w:p>
            <w:pPr>
              <w:spacing w:after="0"/>
              <w:rPr>
                <w:sz w:val="4"/>
                <w:szCs w:val="4"/>
                <w:color w:val="auto"/>
              </w:rPr>
            </w:pPr>
          </w:p>
        </w:tc>
        <w:tc>
          <w:tcPr>
            <w:tcW w:w="48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facilities and other improvements (including areas previously referred</w:t>
            </w:r>
          </w:p>
        </w:tc>
        <w:tc>
          <w:tcPr>
            <w:tcW w:w="0" w:type="dxa"/>
            <w:vAlign w:val="bottom"/>
          </w:tcPr>
          <w:p>
            <w:pPr>
              <w:spacing w:after="0"/>
              <w:rPr>
                <w:sz w:val="1"/>
                <w:szCs w:val="1"/>
                <w:color w:val="auto"/>
              </w:rPr>
            </w:pPr>
          </w:p>
        </w:tc>
      </w:tr>
      <w:tr>
        <w:trPr>
          <w:trHeight w:val="141"/>
        </w:trPr>
        <w:tc>
          <w:tcPr>
            <w:tcW w:w="4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 as Canyons Resort, UT)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25755"/>
                    </a:xfrm>
                    <a:prstGeom prst="rect">
                      <a:avLst/>
                    </a:prstGeom>
                    <a:noFill/>
                  </pic:spPr>
                </pic:pic>
              </a:graphicData>
            </a:graphic>
          </wp:anchor>
        </w:drawing>
      </w:r>
    </w:p>
    <w:p>
      <w:pPr>
        <w:sectPr>
          <w:pgSz w:w="11900" w:h="16838" w:orient="portrait"/>
          <w:cols w:equalWidth="0" w:num="1">
            <w:col w:w="11420"/>
          </w:cols>
          <w:pgMar w:left="240" w:top="1177" w:right="239" w:bottom="1440" w:gutter="0" w:footer="0" w:header="0"/>
        </w:sectPr>
      </w:pP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Park City Mountain, UT</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(220 acres)</w:t>
      </w:r>
    </w:p>
    <w:p>
      <w:pPr>
        <w:spacing w:after="0" w:line="1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Perisher Ski Resort, NSW, Australia</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(3,335 acres)</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Red Cliffs Lodge, CA</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Red Sky Ranch, CO</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6"/>
          <w:szCs w:val="16"/>
          <w:color w:val="auto"/>
        </w:rPr>
        <w:t>Owned</w:t>
      </w:r>
      <w:r>
        <w:rPr>
          <w:sz w:val="20"/>
          <w:szCs w:val="20"/>
          <w:color w:val="auto"/>
        </w:rPr>
        <w:tab/>
      </w:r>
      <w:r>
        <w:rPr>
          <w:rFonts w:ascii="Times New Roman" w:cs="Times New Roman" w:eastAsia="Times New Roman" w:hAnsi="Times New Roman"/>
          <w:sz w:val="16"/>
          <w:szCs w:val="16"/>
          <w:color w:val="auto"/>
        </w:rPr>
        <w:t>Ski trails, ski lifts, dining facilities, commercial space, buildings, real</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estate held for sale or development and other improvements</w:t>
      </w:r>
    </w:p>
    <w:p>
      <w:pPr>
        <w:spacing w:after="0" w:line="119" w:lineRule="exact"/>
        <w:rPr>
          <w:sz w:val="20"/>
          <w:szCs w:val="20"/>
          <w:color w:val="auto"/>
        </w:rPr>
      </w:pPr>
    </w:p>
    <w:p>
      <w:pPr>
        <w:ind w:left="1800" w:right="480" w:hanging="1809"/>
        <w:spacing w:after="0" w:line="232" w:lineRule="auto"/>
        <w:rPr>
          <w:sz w:val="20"/>
          <w:szCs w:val="20"/>
          <w:color w:val="auto"/>
        </w:rPr>
      </w:pPr>
      <w:r>
        <w:rPr>
          <w:rFonts w:ascii="Times New Roman" w:cs="Times New Roman" w:eastAsia="Times New Roman" w:hAnsi="Times New Roman"/>
          <w:sz w:val="16"/>
          <w:szCs w:val="16"/>
          <w:color w:val="auto"/>
        </w:rPr>
        <w:t xml:space="preserve">Owned/Leased/Licensed </w:t>
      </w: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6"/>
          <w:szCs w:val="16"/>
          <w:color w:val="auto"/>
        </w:rPr>
        <w:t xml:space="preserve"> Ski trails, ski lifts, dining facilities, commercial space, railway, buildings, lodging, conference facilities and other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56515</wp:posOffset>
            </wp:positionV>
            <wp:extent cx="7246620"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82"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6"/>
          <w:szCs w:val="16"/>
          <w:color w:val="auto"/>
        </w:rPr>
        <w:t>Leased</w:t>
      </w:r>
      <w:r>
        <w:rPr>
          <w:sz w:val="20"/>
          <w:szCs w:val="20"/>
          <w:color w:val="auto"/>
        </w:rPr>
        <w:tab/>
      </w:r>
      <w:r>
        <w:rPr>
          <w:rFonts w:ascii="Times New Roman" w:cs="Times New Roman" w:eastAsia="Times New Roman" w:hAnsi="Times New Roman"/>
          <w:sz w:val="16"/>
          <w:szCs w:val="16"/>
          <w:color w:val="auto"/>
        </w:rPr>
        <w:t>Dining facilities, ski resort operations, commercial space,</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administrative offices</w:t>
      </w:r>
    </w:p>
    <w:p>
      <w:pPr>
        <w:spacing w:after="0" w:line="65"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6"/>
          <w:szCs w:val="16"/>
          <w:color w:val="auto"/>
        </w:rPr>
        <w:t>Owned</w:t>
      </w:r>
      <w:r>
        <w:rPr>
          <w:sz w:val="20"/>
          <w:szCs w:val="20"/>
          <w:color w:val="auto"/>
        </w:rPr>
        <w:tab/>
      </w:r>
      <w:r>
        <w:rPr>
          <w:rFonts w:ascii="Times New Roman" w:cs="Times New Roman" w:eastAsia="Times New Roman" w:hAnsi="Times New Roman"/>
          <w:sz w:val="16"/>
          <w:szCs w:val="16"/>
          <w:color w:val="auto"/>
        </w:rPr>
        <w:t>Golf courses, clubhouses, dining facilities and real estate held for sale</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or development</w:t>
      </w:r>
    </w:p>
    <w:p>
      <w:pPr>
        <w:spacing w:after="0" w:line="52" w:lineRule="exact"/>
        <w:rPr>
          <w:sz w:val="20"/>
          <w:szCs w:val="20"/>
          <w:color w:val="auto"/>
        </w:rPr>
      </w:pPr>
    </w:p>
    <w:p>
      <w:pPr>
        <w:sectPr>
          <w:pgSz w:w="11900" w:h="16838" w:orient="portrait"/>
          <w:cols w:equalWidth="0" w:num="2">
            <w:col w:w="4220" w:space="720"/>
            <w:col w:w="6480"/>
          </w:cols>
          <w:pgMar w:left="240" w:top="1177"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River Course at Keystone, CO</w:t>
            </w:r>
          </w:p>
        </w:tc>
        <w:tc>
          <w:tcPr>
            <w:tcW w:w="17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Owned</w:t>
            </w:r>
          </w:p>
        </w:tc>
        <w:tc>
          <w:tcPr>
            <w:tcW w:w="4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Golf course and clubhouse</w:t>
            </w:r>
          </w:p>
        </w:tc>
      </w:tr>
      <w:tr>
        <w:trPr>
          <w:trHeight w:val="224"/>
        </w:trPr>
        <w:tc>
          <w:tcPr>
            <w:tcW w:w="4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Seasons at Avon, CO</w:t>
            </w:r>
          </w:p>
        </w:tc>
        <w:tc>
          <w:tcPr>
            <w:tcW w:w="1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Leased/50% Owned</w:t>
            </w:r>
          </w:p>
        </w:tc>
        <w:tc>
          <w:tcPr>
            <w:tcW w:w="4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Administrative offices and commercial space</w:t>
            </w:r>
          </w:p>
        </w:tc>
      </w:tr>
      <w:tr>
        <w:trPr>
          <w:trHeight w:val="33"/>
        </w:trPr>
        <w:tc>
          <w:tcPr>
            <w:tcW w:w="4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16"/>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SSI Venture, LLC (“VRR”) Properties; CO, CA, NV, UT, MN &amp; BC,</w:t>
            </w:r>
          </w:p>
        </w:tc>
        <w:tc>
          <w:tcPr>
            <w:tcW w:w="1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Owned/Leased</w:t>
            </w:r>
          </w:p>
        </w:tc>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Approximately 250 rental and retail stores (of which 140 stores are</w:t>
            </w:r>
          </w:p>
        </w:tc>
      </w:tr>
      <w:tr>
        <w:trPr>
          <w:trHeight w:val="203"/>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Canada</w:t>
            </w:r>
          </w:p>
        </w:tc>
        <w:tc>
          <w:tcPr>
            <w:tcW w:w="1760" w:type="dxa"/>
            <w:vAlign w:val="bottom"/>
            <w:shd w:val="clear" w:color="auto" w:fill="CCEEFF"/>
          </w:tcPr>
          <w:p>
            <w:pPr>
              <w:spacing w:after="0"/>
              <w:rPr>
                <w:sz w:val="17"/>
                <w:szCs w:val="17"/>
                <w:color w:val="auto"/>
              </w:rPr>
            </w:pPr>
          </w:p>
        </w:tc>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currently held under lease) for recreational products, and 3 leased</w:t>
            </w:r>
          </w:p>
        </w:tc>
      </w:tr>
      <w:tr>
        <w:trPr>
          <w:trHeight w:val="223"/>
        </w:trPr>
        <w:tc>
          <w:tcPr>
            <w:tcW w:w="474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c>
          <w:tcPr>
            <w:tcW w:w="4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warehouses</w:t>
            </w:r>
          </w:p>
        </w:tc>
      </w:tr>
      <w:tr>
        <w:trPr>
          <w:trHeight w:val="224"/>
        </w:trPr>
        <w:tc>
          <w:tcPr>
            <w:tcW w:w="4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Ski Tip Lodge, CO</w:t>
            </w:r>
          </w:p>
        </w:tc>
        <w:tc>
          <w:tcPr>
            <w:tcW w:w="1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Owned</w:t>
            </w:r>
          </w:p>
        </w:tc>
        <w:tc>
          <w:tcPr>
            <w:tcW w:w="4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Lodging and dining facilities</w:t>
            </w:r>
          </w:p>
        </w:tc>
      </w:tr>
      <w:tr>
        <w:trPr>
          <w:trHeight w:val="33"/>
        </w:trPr>
        <w:tc>
          <w:tcPr>
            <w:tcW w:w="4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16"/>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Mt. Mansfield, VT (approximately 1,400 acres)</w:t>
            </w:r>
          </w:p>
        </w:tc>
        <w:tc>
          <w:tcPr>
            <w:tcW w:w="1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Leased</w:t>
            </w:r>
          </w:p>
        </w:tc>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Ski trails, ski lifts, buildings and other improvements used for</w:t>
            </w:r>
          </w:p>
        </w:tc>
      </w:tr>
      <w:tr>
        <w:trPr>
          <w:trHeight w:val="223"/>
        </w:trPr>
        <w:tc>
          <w:tcPr>
            <w:tcW w:w="474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c>
          <w:tcPr>
            <w:tcW w:w="4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operation of Stowe Mountain Resort</w:t>
            </w:r>
          </w:p>
        </w:tc>
      </w:tr>
      <w:tr>
        <w:trPr>
          <w:trHeight w:val="216"/>
        </w:trPr>
        <w:tc>
          <w:tcPr>
            <w:tcW w:w="4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Stowe Mountain Resort, VT</w:t>
            </w:r>
          </w:p>
        </w:tc>
        <w:tc>
          <w:tcPr>
            <w:tcW w:w="1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Owned</w:t>
            </w:r>
          </w:p>
        </w:tc>
        <w:tc>
          <w:tcPr>
            <w:tcW w:w="4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10"/>
        </w:trPr>
        <w:tc>
          <w:tcPr>
            <w:tcW w:w="4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improvements and commercial space</w:t>
            </w:r>
          </w:p>
        </w:tc>
      </w:tr>
      <w:tr>
        <w:trPr>
          <w:trHeight w:val="33"/>
        </w:trPr>
        <w:tc>
          <w:tcPr>
            <w:tcW w:w="4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24"/>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The Arrabelle at Vail Square, CO</w:t>
            </w:r>
          </w:p>
        </w:tc>
        <w:tc>
          <w:tcPr>
            <w:tcW w:w="1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Owned</w:t>
            </w:r>
          </w:p>
        </w:tc>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Lodging, spa, dining and conference facilities</w:t>
            </w:r>
          </w:p>
        </w:tc>
      </w:tr>
      <w:tr>
        <w:trPr>
          <w:trHeight w:val="33"/>
        </w:trPr>
        <w:tc>
          <w:tcPr>
            <w:tcW w:w="47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492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77" w:right="2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12"/>
        </w:trPr>
        <w:tc>
          <w:tcPr>
            <w:tcW w:w="44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800" w:type="dxa"/>
            <w:vAlign w:val="bottom"/>
          </w:tcPr>
          <w:p>
            <w:pPr>
              <w:ind w:left="60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516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Use</w:t>
            </w:r>
          </w:p>
        </w:tc>
      </w:tr>
      <w:tr>
        <w:trPr>
          <w:trHeight w:val="33"/>
        </w:trPr>
        <w:tc>
          <w:tcPr>
            <w:tcW w:w="4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17"/>
        </w:trPr>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 Lodge at Vail, CO</w:t>
            </w:r>
          </w:p>
        </w:tc>
        <w:tc>
          <w:tcPr>
            <w:tcW w:w="18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Owned</w:t>
            </w:r>
          </w:p>
        </w:tc>
        <w:tc>
          <w:tcPr>
            <w:tcW w:w="51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Lodging, spa, dining and conference facilities</w:t>
            </w:r>
          </w:p>
        </w:tc>
      </w:tr>
      <w:tr>
        <w:trPr>
          <w:trHeight w:val="33"/>
        </w:trPr>
        <w:tc>
          <w:tcPr>
            <w:tcW w:w="44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37"/>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The Osprey at Beaver Creek, CO</w:t>
            </w:r>
          </w:p>
        </w:tc>
        <w:tc>
          <w:tcPr>
            <w:tcW w:w="18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Owned</w:t>
            </w:r>
          </w:p>
        </w:tc>
        <w:tc>
          <w:tcPr>
            <w:tcW w:w="51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Lodging, dining and conference facilities</w:t>
            </w:r>
          </w:p>
        </w:tc>
      </w:tr>
      <w:tr>
        <w:trPr>
          <w:trHeight w:val="224"/>
        </w:trPr>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 Tarnes at Beaver Creek, CO</w:t>
            </w:r>
          </w:p>
        </w:tc>
        <w:tc>
          <w:tcPr>
            <w:tcW w:w="18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31% Owned</w:t>
            </w:r>
          </w:p>
        </w:tc>
        <w:tc>
          <w:tcPr>
            <w:tcW w:w="51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Employee housing facilities</w:t>
            </w:r>
          </w:p>
        </w:tc>
      </w:tr>
      <w:tr>
        <w:trPr>
          <w:trHeight w:val="33"/>
        </w:trPr>
        <w:tc>
          <w:tcPr>
            <w:tcW w:w="44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37"/>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Tenderfoot Housing, CO</w:t>
            </w:r>
          </w:p>
        </w:tc>
        <w:tc>
          <w:tcPr>
            <w:tcW w:w="18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50% Owned</w:t>
            </w:r>
          </w:p>
        </w:tc>
        <w:tc>
          <w:tcPr>
            <w:tcW w:w="51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Employee housing facilities</w:t>
            </w:r>
          </w:p>
        </w:tc>
      </w:tr>
      <w:tr>
        <w:trPr>
          <w:trHeight w:val="224"/>
        </w:trPr>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 Pines Lodge at Beaver Creek, CO</w:t>
            </w:r>
          </w:p>
        </w:tc>
        <w:tc>
          <w:tcPr>
            <w:tcW w:w="18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Owned</w:t>
            </w:r>
          </w:p>
        </w:tc>
        <w:tc>
          <w:tcPr>
            <w:tcW w:w="51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Lodging, dining and conference facilities</w:t>
            </w:r>
          </w:p>
        </w:tc>
      </w:tr>
      <w:tr>
        <w:trPr>
          <w:trHeight w:val="33"/>
        </w:trPr>
        <w:tc>
          <w:tcPr>
            <w:tcW w:w="44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37"/>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The Village Hotel, Breckenridge, CO</w:t>
            </w:r>
          </w:p>
        </w:tc>
        <w:tc>
          <w:tcPr>
            <w:tcW w:w="18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Owned</w:t>
            </w:r>
          </w:p>
        </w:tc>
        <w:tc>
          <w:tcPr>
            <w:tcW w:w="51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Lodging, dining, conference facilities and commercial space</w:t>
            </w:r>
          </w:p>
        </w:tc>
      </w:tr>
      <w:tr>
        <w:trPr>
          <w:trHeight w:val="216"/>
        </w:trPr>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Vail Mountain, CO</w:t>
            </w:r>
          </w:p>
        </w:tc>
        <w:tc>
          <w:tcPr>
            <w:tcW w:w="18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Owned</w:t>
            </w:r>
          </w:p>
        </w:tc>
        <w:tc>
          <w:tcPr>
            <w:tcW w:w="51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03"/>
        </w:trPr>
        <w:tc>
          <w:tcPr>
            <w:tcW w:w="4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51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improvements, property management, commercial space and real estate</w:t>
            </w:r>
          </w:p>
        </w:tc>
      </w:tr>
      <w:tr>
        <w:trPr>
          <w:trHeight w:val="210"/>
        </w:trPr>
        <w:tc>
          <w:tcPr>
            <w:tcW w:w="4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1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held for sale or development</w:t>
            </w:r>
          </w:p>
        </w:tc>
      </w:tr>
      <w:tr>
        <w:trPr>
          <w:trHeight w:val="33"/>
        </w:trPr>
        <w:tc>
          <w:tcPr>
            <w:tcW w:w="44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37"/>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Vail Mountain, CO (12,353 acres)</w:t>
            </w:r>
          </w:p>
        </w:tc>
        <w:tc>
          <w:tcPr>
            <w:tcW w:w="18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SUP</w:t>
            </w:r>
          </w:p>
        </w:tc>
        <w:tc>
          <w:tcPr>
            <w:tcW w:w="51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216"/>
        </w:trPr>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Whistler Blackcomb Resort, BC, Canada</w:t>
            </w:r>
          </w:p>
        </w:tc>
        <w:tc>
          <w:tcPr>
            <w:tcW w:w="18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75% Owned</w:t>
            </w:r>
          </w:p>
        </w:tc>
        <w:tc>
          <w:tcPr>
            <w:tcW w:w="51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03"/>
        </w:trPr>
        <w:tc>
          <w:tcPr>
            <w:tcW w:w="4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51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improvements, property management, commercial space and real estate</w:t>
            </w:r>
          </w:p>
        </w:tc>
      </w:tr>
      <w:tr>
        <w:trPr>
          <w:trHeight w:val="210"/>
        </w:trPr>
        <w:tc>
          <w:tcPr>
            <w:tcW w:w="4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1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held for sale or development</w:t>
            </w:r>
          </w:p>
        </w:tc>
      </w:tr>
      <w:tr>
        <w:trPr>
          <w:trHeight w:val="33"/>
        </w:trPr>
        <w:tc>
          <w:tcPr>
            <w:tcW w:w="44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16"/>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Whistler Mountain and Blackcomb Mountain, BC, Canada</w:t>
            </w:r>
          </w:p>
        </w:tc>
        <w:tc>
          <w:tcPr>
            <w:tcW w:w="1800" w:type="dxa"/>
            <w:vAlign w:val="bottom"/>
            <w:shd w:val="clear" w:color="auto" w:fill="CCEEFF"/>
          </w:tcPr>
          <w:p>
            <w:pPr>
              <w:ind w:left="600"/>
              <w:spacing w:after="0" w:line="216" w:lineRule="exact"/>
              <w:rPr>
                <w:sz w:val="20"/>
                <w:szCs w:val="20"/>
                <w:color w:val="auto"/>
              </w:rPr>
            </w:pPr>
            <w:r>
              <w:rPr>
                <w:rFonts w:ascii="Times New Roman" w:cs="Times New Roman" w:eastAsia="Times New Roman" w:hAnsi="Times New Roman"/>
                <w:sz w:val="16"/>
                <w:szCs w:val="16"/>
                <w:color w:val="auto"/>
              </w:rPr>
              <w:t xml:space="preserve">MDA </w:t>
            </w:r>
            <w:r>
              <w:rPr>
                <w:rFonts w:ascii="Times New Roman" w:cs="Times New Roman" w:eastAsia="Times New Roman" w:hAnsi="Times New Roman"/>
                <w:sz w:val="21"/>
                <w:szCs w:val="21"/>
                <w:color w:val="auto"/>
                <w:vertAlign w:val="superscript"/>
              </w:rPr>
              <w:t>(4)</w:t>
            </w:r>
          </w:p>
        </w:tc>
        <w:tc>
          <w:tcPr>
            <w:tcW w:w="5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23"/>
        </w:trPr>
        <w:tc>
          <w:tcPr>
            <w:tcW w:w="446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spacing w:after="0"/>
              <w:rPr>
                <w:sz w:val="19"/>
                <w:szCs w:val="19"/>
                <w:color w:val="auto"/>
              </w:rPr>
            </w:pPr>
          </w:p>
        </w:tc>
        <w:tc>
          <w:tcPr>
            <w:tcW w:w="51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improvements</w:t>
            </w:r>
          </w:p>
        </w:tc>
      </w:tr>
      <w:tr>
        <w:trPr>
          <w:trHeight w:val="224"/>
        </w:trPr>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Whistler Blackcomb Resort, BC, Canada</w:t>
            </w:r>
          </w:p>
        </w:tc>
        <w:tc>
          <w:tcPr>
            <w:tcW w:w="18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Leased</w:t>
            </w:r>
          </w:p>
        </w:tc>
        <w:tc>
          <w:tcPr>
            <w:tcW w:w="51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Employee housing facilities</w:t>
            </w:r>
          </w:p>
        </w:tc>
      </w:tr>
      <w:tr>
        <w:trPr>
          <w:trHeight w:val="33"/>
        </w:trPr>
        <w:tc>
          <w:tcPr>
            <w:tcW w:w="44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24"/>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Wilmot Mountain, WI</w:t>
            </w:r>
          </w:p>
        </w:tc>
        <w:tc>
          <w:tcPr>
            <w:tcW w:w="1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Owned</w:t>
            </w:r>
          </w:p>
        </w:tc>
        <w:tc>
          <w:tcPr>
            <w:tcW w:w="5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33"/>
        </w:trPr>
        <w:tc>
          <w:tcPr>
            <w:tcW w:w="44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51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Many of our properties are used across all segments in complementary and interdependent ways.</w:t>
      </w:r>
    </w:p>
    <w:p>
      <w:pPr>
        <w:spacing w:after="0" w:line="225" w:lineRule="exact"/>
        <w:rPr>
          <w:sz w:val="20"/>
          <w:szCs w:val="20"/>
          <w:color w:val="auto"/>
        </w:rPr>
      </w:pPr>
    </w:p>
    <w:p>
      <w:pPr>
        <w:jc w:val="both"/>
        <w:ind w:firstLine="8"/>
        <w:spacing w:after="0" w:line="261" w:lineRule="auto"/>
        <w:tabs>
          <w:tab w:leader="none" w:pos="42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Northstar are conducted on land and with operating assets owned by affiliates of EPR Properties under operating leases which were assumed by us. The leases provide for the payment of a minimum annual base rent with periodic increases in base rent over the lease term. In addition, the leases provide for the payment of percentage rent based on a percentage of gross revenues generated at the property over certain thresholds. The initial term of the leases expires in fiscal 2027, and is subject to three 10-year renewal options.</w:t>
      </w:r>
    </w:p>
    <w:p>
      <w:pPr>
        <w:spacing w:after="0" w:line="180" w:lineRule="exact"/>
        <w:rPr>
          <w:sz w:val="20"/>
          <w:szCs w:val="20"/>
          <w:color w:val="auto"/>
        </w:rPr>
      </w:pPr>
    </w:p>
    <w:p>
      <w:pPr>
        <w:jc w:val="both"/>
        <w:ind w:firstLine="8"/>
        <w:spacing w:after="0" w:line="258" w:lineRule="auto"/>
        <w:tabs>
          <w:tab w:leader="none" w:pos="39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portions of Park City are conducted pursuant to a long-term lease on land and with certain operating assets owned by TCFC LeaseCo, LLC and TCFC PropCo, LLC. The lease provides for the payment of a minimum annual base rent with periodic increases in base rent over the lease term and participating contingent payments of a percentage of the amount by which EBITDA for resort operations exceeds certain thresholds, also subject to periodic increases over the lease term. The initial term of the lease expires in fiscal 2063 and is subject to six 50-year renewal options. Additionally, in connection with the lease, we entered into certain ancillary agreements with third parties, including leases and easements, allowing for various resort operations.</w:t>
      </w:r>
    </w:p>
    <w:p>
      <w:pPr>
        <w:spacing w:after="0" w:line="183" w:lineRule="exact"/>
        <w:rPr>
          <w:rFonts w:ascii="Times New Roman" w:cs="Times New Roman" w:eastAsia="Times New Roman" w:hAnsi="Times New Roman"/>
          <w:sz w:val="18"/>
          <w:szCs w:val="18"/>
          <w:color w:val="auto"/>
        </w:rPr>
      </w:pPr>
    </w:p>
    <w:p>
      <w:pPr>
        <w:jc w:val="both"/>
        <w:ind w:firstLine="8"/>
        <w:spacing w:after="0" w:line="258" w:lineRule="auto"/>
        <w:tabs>
          <w:tab w:leader="none" w:pos="40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Perisher are conducted pursuant to a long-term lease and license of land and certain improvements owned by the government of New South Wales within Kosciuszko National Park pursuant to the National Parks and Wildlife Act of 1974. The lease and license provide for the payment of a minimum annual base rent with periodic increases in base rent over the term, turnover rent payments of a percentage of certain gross revenue, remittance of park user fees and certain other charges, also subject to periodic increases over the term. The initial term of the lease and license expires in 2048 and is subject to one 20-year renewal option.</w:t>
      </w:r>
    </w:p>
    <w:p>
      <w:pPr>
        <w:spacing w:after="0" w:line="184" w:lineRule="exact"/>
        <w:rPr>
          <w:sz w:val="20"/>
          <w:szCs w:val="20"/>
          <w:color w:val="auto"/>
        </w:rPr>
      </w:pPr>
    </w:p>
    <w:p>
      <w:pPr>
        <w:jc w:val="both"/>
        <w:ind w:right="20" w:firstLine="8"/>
        <w:spacing w:after="0" w:line="266" w:lineRule="auto"/>
        <w:tabs>
          <w:tab w:leader="none" w:pos="46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Whistler Mountain and Blackcomb Mountain are located on Crown Land within the traditional territory of the Squamish and Lil’wat Nations. The relationship between Whistler Blackcomb and the Province is largely governed by MDAs between the Province and Whistler LP with respect to Whistler Mountain, and between the Province and Blackcomb LP with respect to Blackcomb Mountain.</w:t>
      </w:r>
    </w:p>
    <w:p>
      <w:pPr>
        <w:spacing w:after="0" w:line="38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2016, Kirkwood received a Notice of Violation (“NOV”) from the State of California Central Valley Regional Water Quality Control Board (the “Regional Water Board”) regarding the disposition of asphalt grindings used in parking lot surfacing in and around Kirkwood Creek. We are in the information gathering stage and are cooperating with the Regional Water Board staff and the California Department of Fish and Wildlife (“CDFW”) to satisfactorily resolve the matters identified in the NOV.</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77" w:right="239" w:bottom="1440" w:gutter="0" w:footer="0" w:header="0"/>
        </w:sectPr>
      </w:pPr>
    </w:p>
    <w:bookmarkStart w:id="33" w:name="page34"/>
    <w:bookmarkEnd w:id="33"/>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2017, Kirkwood executed a Settlement Agreement and Stipulation for Entry of Administrative Liability Order (“Stipulated Order”) with the Regional Water Board and CDFW. The Stipulated Order has been noticed for a 30-day public comment period and is subject to approval by the Regional Water Board. If approved, Kirkwood will be responsible to pay monetary penalties and agency costs totaling approximately $0.8 million, of which approximately half will be fulfilled by a supplemental environmental project run by the National Fish and Wildlife Foundation. All of these amounts will be paid by third-party insurance. The remediation work required by the Stipulated Order and as may be requested by the agencies may continue into calendar year 2018.</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expect the resolution of the above item to have a material impact on our results of operations or cash flows.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party to various lawsuits arising in the ordinary course of business. We believe that we have adequate insurance coverage and/or have accrued for loss contingencies for all known matters and that, although the ultimate outcome of such claims cannot be ascertained, current pending and threatened claims are not expected, individually or in the aggregate, to have a material adverse impact on our financial position, results of operations or cash flows.</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012"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left="1300" w:hanging="1296"/>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 and Dividend Policy</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New York Stock Exchange (“NYSE”) under the symbol “MTN.” As of September 25, 2017, 40,019,342 shares of common stock were outstanding, held by approximately 300 holders of record.</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on the high and low sales prices of our common stock on the NYSE and the quarterly cash dividends declared per share of common stock for each quarterly period for the two most recently completed fiscal years.</w:t>
      </w:r>
    </w:p>
    <w:p>
      <w:pPr>
        <w:spacing w:after="0" w:line="36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Cash</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40" w:type="dxa"/>
            <w:vAlign w:val="bottom"/>
            <w:gridSpan w:val="3"/>
            <w:vMerge w:val="restart"/>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Market Price Per Share</w:t>
            </w:r>
          </w:p>
        </w:tc>
        <w:tc>
          <w:tcPr>
            <w:tcW w:w="380" w:type="dxa"/>
            <w:vAlign w:val="bottom"/>
          </w:tcPr>
          <w:p>
            <w:pPr>
              <w:spacing w:after="0"/>
              <w:rPr>
                <w:sz w:val="18"/>
                <w:szCs w:val="18"/>
                <w:color w:val="auto"/>
              </w:rPr>
            </w:pPr>
          </w:p>
        </w:tc>
        <w:tc>
          <w:tcPr>
            <w:tcW w:w="14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0" w:type="dxa"/>
            <w:vAlign w:val="bottom"/>
          </w:tcPr>
          <w:p>
            <w:pPr>
              <w:spacing w:after="0"/>
              <w:rPr>
                <w:sz w:val="1"/>
                <w:szCs w:val="1"/>
                <w:color w:val="auto"/>
              </w:rPr>
            </w:pPr>
          </w:p>
        </w:tc>
      </w:tr>
      <w:tr>
        <w:trPr>
          <w:trHeight w:val="198"/>
        </w:trPr>
        <w:tc>
          <w:tcPr>
            <w:tcW w:w="60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3"/>
            <w:vMerge w:val="continue"/>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center"/>
              <w:ind w:right="190"/>
              <w:spacing w:after="0" w:line="198" w:lineRule="exact"/>
              <w:rPr>
                <w:sz w:val="20"/>
                <w:szCs w:val="20"/>
                <w:color w:val="auto"/>
              </w:rPr>
            </w:pPr>
            <w:r>
              <w:rPr>
                <w:rFonts w:ascii="Times New Roman" w:cs="Times New Roman" w:eastAsia="Times New Roman" w:hAnsi="Times New Roman"/>
                <w:sz w:val="18"/>
                <w:szCs w:val="18"/>
                <w:b w:val="1"/>
                <w:bCs w:val="1"/>
                <w:color w:val="auto"/>
              </w:rPr>
              <w:t>Declared</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38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High</w:t>
            </w:r>
          </w:p>
        </w:tc>
        <w:tc>
          <w:tcPr>
            <w:tcW w:w="480" w:type="dxa"/>
            <w:vAlign w:val="bottom"/>
          </w:tcPr>
          <w:p>
            <w:pPr>
              <w:spacing w:after="0"/>
              <w:rPr>
                <w:sz w:val="20"/>
                <w:szCs w:val="20"/>
                <w:color w:val="auto"/>
              </w:rPr>
            </w:pPr>
          </w:p>
        </w:tc>
        <w:tc>
          <w:tcPr>
            <w:tcW w:w="132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Low</w:t>
            </w:r>
          </w:p>
        </w:tc>
        <w:tc>
          <w:tcPr>
            <w:tcW w:w="380" w:type="dxa"/>
            <w:vAlign w:val="bottom"/>
          </w:tcPr>
          <w:p>
            <w:pPr>
              <w:spacing w:after="0"/>
              <w:rPr>
                <w:sz w:val="20"/>
                <w:szCs w:val="20"/>
                <w:color w:val="auto"/>
              </w:rPr>
            </w:pPr>
          </w:p>
        </w:tc>
        <w:tc>
          <w:tcPr>
            <w:tcW w:w="14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6"/>
              </w:rPr>
              <w:t>Per Share</w:t>
            </w:r>
          </w:p>
        </w:tc>
        <w:tc>
          <w:tcPr>
            <w:tcW w:w="0" w:type="dxa"/>
            <w:vAlign w:val="bottom"/>
          </w:tcPr>
          <w:p>
            <w:pPr>
              <w:spacing w:after="0"/>
              <w:rPr>
                <w:sz w:val="1"/>
                <w:szCs w:val="1"/>
                <w:color w:val="auto"/>
              </w:rPr>
            </w:pPr>
          </w:p>
        </w:tc>
      </w:tr>
      <w:tr>
        <w:trPr>
          <w:trHeight w:val="27"/>
        </w:trPr>
        <w:tc>
          <w:tcPr>
            <w:tcW w:w="6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2017</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31, 2017</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215.82</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197.11</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1.053</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30, 2017</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200.92</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170.94</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1.053</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31, 2017</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172.32</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153.66</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0.81</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31, 2016</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162.95</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142.04</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0.81</w:t>
            </w:r>
          </w:p>
        </w:tc>
        <w:tc>
          <w:tcPr>
            <w:tcW w:w="0" w:type="dxa"/>
            <w:vAlign w:val="bottom"/>
          </w:tcPr>
          <w:p>
            <w:pPr>
              <w:spacing w:after="0"/>
              <w:rPr>
                <w:sz w:val="1"/>
                <w:szCs w:val="1"/>
                <w:color w:val="auto"/>
              </w:rPr>
            </w:pPr>
          </w:p>
        </w:tc>
      </w:tr>
      <w:tr>
        <w:trPr>
          <w:trHeight w:val="237"/>
        </w:trPr>
        <w:tc>
          <w:tcPr>
            <w:tcW w:w="6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2016</w:t>
            </w:r>
          </w:p>
        </w:tc>
        <w:tc>
          <w:tcPr>
            <w:tcW w:w="3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31, 2016</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145.38</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124.00</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0.81</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30, 2016</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135.98</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114.86</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0.81</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31, 2016</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133.59</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112.75</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0.6225</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31, 2015</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116.52</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100.50</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0.6225</w:t>
            </w:r>
          </w:p>
        </w:tc>
        <w:tc>
          <w:tcPr>
            <w:tcW w:w="0" w:type="dxa"/>
            <w:vAlign w:val="bottom"/>
          </w:tcPr>
          <w:p>
            <w:pPr>
              <w:spacing w:after="0"/>
              <w:rPr>
                <w:sz w:val="1"/>
                <w:szCs w:val="1"/>
                <w:color w:val="auto"/>
              </w:rPr>
            </w:pPr>
          </w:p>
        </w:tc>
      </w:tr>
      <w:tr>
        <w:trPr>
          <w:trHeight w:val="27"/>
        </w:trPr>
        <w:tc>
          <w:tcPr>
            <w:tcW w:w="6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fiscal 2011, our Board of Directors approved the commencement of a regular quarterly cash dividend on our common stock at an annual rate of $0.60 per share, subject to quarterly declaration. Since the initial commencement of a regular quarterly cash dividend, our Board of Directors has annually approved an increase to our cash dividend on our common stock and on March 9, 2017, our Board of Directors approved a 30% increase to our quarterly cash dividend to an annual rate of $4.212 per share, subject to quarterly declaration. This dividend is anticipated to be funded through cash flow from operations, available cash on hand and borrowings under the revolver portion of our Seventh Amended and Restated Credit Facility, dated as of May 1, 2015 (the “Vail Holdings Credit Agreement”). Subject to the discretion of our Board of Directors, applicable law and contractual restrictions, we anticipate paying regular quarterly dividends on our common stock for the foreseeable future. The amount, if any, of the dividends to be paid in the future will depend upon our available cash on hand, anticipated cash needs, overall financial condition, restrictions contained in the Vail Holdings Credit Agreement, future prospects for earnings and cash flows, as well as other factors considered relevant by our Board of Directors.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of Equity Securities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did not repurchase any shares of common stock during the fourth quarter of the year ended July 31, 2017 (“Fiscal 2017”). The share repurchase program is conducted under authorizations made from time to time by our Board of Directors. On March 9, 2006, the Company’s Board of Directors approved a share repurchase program, authorizing the Company to repurchase up to 3,000,000 shares of common stock. On July 16, 2008, the Company’s Board of Directors increased the authorization by an additional 3,000,000 shares, and on December 4, 2015, the Company’s Board of Directors increased the authorization by an additional 1,500,000 shares for a total authorization to repurchase shares of up to 7,500,000 shares. Since inception of this stock repurchase program through July 31, 2017, the Company has repurchased 5,436,294 shares at a cost of approximately $247.2 million. As of July 31, 2017, 2,063,706 shares remained available to repurchase under the existing repurchase authorization. Repurchases under these authorizations may be made from time to time at prevailing prices as permitted by applicable laws, and subject to market conditions and other factors. These authorizations have no expiration date.</w:t>
      </w:r>
    </w:p>
    <w:p>
      <w:pPr>
        <w:sectPr>
          <w:pgSz w:w="11900" w:h="16838" w:orient="portrait"/>
          <w:cols w:equalWidth="0" w:num="1">
            <w:col w:w="11420"/>
          </w:cols>
          <w:pgMar w:left="240" w:top="100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009" w:right="239" w:bottom="1440" w:gutter="0" w:footer="0" w:header="0"/>
          <w:type w:val="continuous"/>
        </w:sectPr>
      </w:pPr>
    </w:p>
    <w:bookmarkStart w:id="35" w:name="page36"/>
    <w:bookmarkEnd w:id="35"/>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88265</wp:posOffset>
            </wp:positionV>
            <wp:extent cx="4391025" cy="3576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391025" cy="357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return graph above is presented for the period from the end of our 2012 fiscal year through the end of Fiscal 2017. The comparison assumes that $100 was invested at the beginning of the period in our common stock (“MTN”), The Russell 2000, The Standard &amp; Poor’s 500 Stock Index and the Dow Jones U.S. Travel and Leisure Stock Index, with dividends reinvested where applicable. We include the Dow Jones U.S. Travel and Leisure Index as we believe we compete in the travel and leisure industry.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performance graph is not deemed filed with the Securities and Exchange Commission (“SEC”) and is not to be incorporated by reference into any of our filings under the Securities Act of 1933 or the Exchange Act, unless such filings specifically incorporate the performance graph by reference therein.</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presents selected historical consolidated financial data derived from our Consolidated Financial Statements for the periods indicated. The financial data for Fiscal 2017, the year ended July 31, 2016 (“Fiscal 2016”) and the year ended July 31, 2015 (“Fiscal 2015”) and as of July 31, 2017 and 2016 should be read in conjunction with the Consolidated Financial Statements, related notes thereto and Management’s Discussion and Analysis of Financial Condition and Results of Operations contained elsewhere in this Form 10-K. The table presented below is unaudited. The data presented below is in thousands, except for diluted net income per share attributable to Vail Resorts, Inc., cash dividends declared per share, effective ticket price (“ETP”), average daily rate (“ADR”) and revenue per available room (“RevPAR”) amounts.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440"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Year Ended July 31,</w:t>
            </w: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30"/>
              <w:spacing w:after="0" w:line="264" w:lineRule="exact"/>
              <w:rPr>
                <w:sz w:val="20"/>
                <w:szCs w:val="20"/>
                <w:color w:val="auto"/>
              </w:rPr>
            </w:pPr>
            <w:r>
              <w:rPr>
                <w:rFonts w:ascii="Times New Roman" w:cs="Times New Roman" w:eastAsia="Times New Roman" w:hAnsi="Times New Roman"/>
                <w:sz w:val="18"/>
                <w:szCs w:val="18"/>
                <w:b w:val="1"/>
                <w:bCs w:val="1"/>
                <w:color w:val="auto"/>
              </w:rPr>
              <w:t>2017</w:t>
            </w:r>
            <w:r>
              <w:rPr>
                <w:rFonts w:ascii="Times New Roman" w:cs="Times New Roman" w:eastAsia="Times New Roman" w:hAnsi="Times New Roman"/>
                <w:sz w:val="25"/>
                <w:szCs w:val="25"/>
                <w:color w:val="auto"/>
                <w:vertAlign w:val="superscript"/>
              </w:rPr>
              <w:t>(1)</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30"/>
              <w:spacing w:after="0" w:line="264" w:lineRule="exact"/>
              <w:rPr>
                <w:sz w:val="20"/>
                <w:szCs w:val="20"/>
                <w:color w:val="auto"/>
              </w:rPr>
            </w:pPr>
            <w:r>
              <w:rPr>
                <w:rFonts w:ascii="Times New Roman" w:cs="Times New Roman" w:eastAsia="Times New Roman" w:hAnsi="Times New Roman"/>
                <w:sz w:val="18"/>
                <w:szCs w:val="18"/>
                <w:b w:val="1"/>
                <w:bCs w:val="1"/>
                <w:color w:val="auto"/>
              </w:rPr>
              <w:t>2016</w:t>
            </w:r>
            <w:r>
              <w:rPr>
                <w:rFonts w:ascii="Times New Roman" w:cs="Times New Roman" w:eastAsia="Times New Roman" w:hAnsi="Times New Roman"/>
                <w:sz w:val="25"/>
                <w:szCs w:val="25"/>
                <w:color w:val="auto"/>
                <w:vertAlign w:val="superscript"/>
              </w:rPr>
              <w:t>(1)</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30"/>
              <w:spacing w:after="0" w:line="264" w:lineRule="exact"/>
              <w:rPr>
                <w:sz w:val="20"/>
                <w:szCs w:val="20"/>
                <w:color w:val="auto"/>
              </w:rPr>
            </w:pPr>
            <w:r>
              <w:rPr>
                <w:rFonts w:ascii="Times New Roman" w:cs="Times New Roman" w:eastAsia="Times New Roman" w:hAnsi="Times New Roman"/>
                <w:sz w:val="18"/>
                <w:szCs w:val="18"/>
                <w:b w:val="1"/>
                <w:bCs w:val="1"/>
                <w:color w:val="auto"/>
              </w:rPr>
              <w:t>2015</w:t>
            </w:r>
            <w:r>
              <w:rPr>
                <w:rFonts w:ascii="Times New Roman" w:cs="Times New Roman" w:eastAsia="Times New Roman" w:hAnsi="Times New Roman"/>
                <w:sz w:val="25"/>
                <w:szCs w:val="25"/>
                <w:color w:val="auto"/>
                <w:vertAlign w:val="superscript"/>
              </w:rPr>
              <w:t>(1)</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30"/>
              <w:spacing w:after="0" w:line="264" w:lineRule="exact"/>
              <w:rPr>
                <w:sz w:val="20"/>
                <w:szCs w:val="20"/>
                <w:color w:val="auto"/>
              </w:rPr>
            </w:pPr>
            <w:r>
              <w:rPr>
                <w:rFonts w:ascii="Times New Roman" w:cs="Times New Roman" w:eastAsia="Times New Roman" w:hAnsi="Times New Roman"/>
                <w:sz w:val="18"/>
                <w:szCs w:val="18"/>
                <w:b w:val="1"/>
                <w:bCs w:val="1"/>
                <w:color w:val="auto"/>
              </w:rPr>
              <w:t>2014</w:t>
            </w:r>
            <w:r>
              <w:rPr>
                <w:rFonts w:ascii="Times New Roman" w:cs="Times New Roman" w:eastAsia="Times New Roman" w:hAnsi="Times New Roman"/>
                <w:sz w:val="25"/>
                <w:szCs w:val="25"/>
                <w:color w:val="auto"/>
                <w:vertAlign w:val="superscript"/>
              </w:rPr>
              <w:t>(1)</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90"/>
              <w:spacing w:after="0" w:line="264" w:lineRule="exact"/>
              <w:rPr>
                <w:sz w:val="20"/>
                <w:szCs w:val="20"/>
                <w:color w:val="auto"/>
              </w:rPr>
            </w:pPr>
            <w:r>
              <w:rPr>
                <w:rFonts w:ascii="Times New Roman" w:cs="Times New Roman" w:eastAsia="Times New Roman" w:hAnsi="Times New Roman"/>
                <w:sz w:val="18"/>
                <w:szCs w:val="18"/>
                <w:b w:val="1"/>
                <w:bCs w:val="1"/>
                <w:color w:val="auto"/>
              </w:rPr>
              <w:t>2013</w:t>
            </w:r>
            <w:r>
              <w:rPr>
                <w:rFonts w:ascii="Times New Roman" w:cs="Times New Roman" w:eastAsia="Times New Roman" w:hAnsi="Times New Roman"/>
                <w:sz w:val="25"/>
                <w:szCs w:val="25"/>
                <w:color w:val="auto"/>
                <w:vertAlign w:val="superscript"/>
              </w:rPr>
              <w:t>(1)</w:t>
            </w: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net revenue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1,907,218</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1,601,286</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1,399,924</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1,254,646</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1,120,797</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4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segment operating expense</w:t>
            </w:r>
          </w:p>
        </w:tc>
        <w:tc>
          <w:tcPr>
            <w:tcW w:w="24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1,322,841</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1,152,496</w:t>
            </w:r>
          </w:p>
        </w:tc>
        <w:tc>
          <w:tcPr>
            <w:tcW w:w="4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1,058,432</w:t>
            </w:r>
          </w:p>
        </w:tc>
        <w:tc>
          <w:tcPr>
            <w:tcW w:w="3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994,174</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896,609</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4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operating expense</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(205,121)</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(165,811)</w:t>
            </w:r>
          </w:p>
        </w:tc>
        <w:tc>
          <w:tcPr>
            <w:tcW w:w="4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(130,979)</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(143,209)</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(127,235)</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(30,807)</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(40,360)</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(61,185)</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(73,191)</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(37,724)</w:t>
            </w:r>
          </w:p>
        </w:tc>
      </w:tr>
      <w:tr>
        <w:trPr>
          <w:trHeight w:val="237"/>
        </w:trPr>
        <w:tc>
          <w:tcPr>
            <w:tcW w:w="47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348,449</w:t>
            </w:r>
          </w:p>
        </w:tc>
        <w:tc>
          <w:tcPr>
            <w:tcW w:w="3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242,619</w:t>
            </w:r>
          </w:p>
        </w:tc>
        <w:tc>
          <w:tcPr>
            <w:tcW w:w="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149,328</w:t>
            </w:r>
          </w:p>
        </w:tc>
        <w:tc>
          <w:tcPr>
            <w:tcW w:w="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44,072</w:t>
            </w:r>
          </w:p>
        </w:tc>
        <w:tc>
          <w:tcPr>
            <w:tcW w:w="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59,229</w:t>
            </w:r>
          </w:p>
        </w:tc>
      </w:tr>
      <w:tr>
        <w:trPr>
          <w:trHeight w:val="67"/>
        </w:trPr>
        <w:tc>
          <w:tcPr>
            <w:tcW w:w="47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31"/>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and Dividends:</w:t>
            </w: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231,718</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149,454</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114,610</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28,206</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37,610</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210,553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149,754</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114,754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28,478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37,743</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net income per share attributable to Vail Resorts, Inc.</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5.22</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3.07</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0.77</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3.726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2.075</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1.245</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0.79</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Mountain</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70"/>
        </w:trPr>
        <w:tc>
          <w:tcPr>
            <w:tcW w:w="4700" w:type="dxa"/>
            <w:vAlign w:val="bottom"/>
          </w:tcPr>
          <w:p>
            <w:pPr>
              <w:ind w:left="220"/>
              <w:spacing w:after="0" w:line="270" w:lineRule="exact"/>
              <w:rPr>
                <w:sz w:val="20"/>
                <w:szCs w:val="20"/>
                <w:color w:val="auto"/>
              </w:rPr>
            </w:pPr>
            <w:r>
              <w:rPr>
                <w:rFonts w:ascii="Times New Roman" w:cs="Times New Roman" w:eastAsia="Times New Roman" w:hAnsi="Times New Roman"/>
                <w:sz w:val="18"/>
                <w:szCs w:val="18"/>
                <w:color w:val="auto"/>
              </w:rPr>
              <w:t>Skier visits</w:t>
            </w:r>
            <w:r>
              <w:rPr>
                <w:rFonts w:ascii="Times New Roman" w:cs="Times New Roman" w:eastAsia="Times New Roman" w:hAnsi="Times New Roman"/>
                <w:sz w:val="25"/>
                <w:szCs w:val="25"/>
                <w:color w:val="auto"/>
                <w:vertAlign w:val="superscript"/>
              </w:rPr>
              <w:t>(2)</w:t>
            </w:r>
          </w:p>
        </w:tc>
        <w:tc>
          <w:tcPr>
            <w:tcW w:w="24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12,047</w:t>
            </w: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10,032</w:t>
            </w:r>
          </w:p>
        </w:tc>
        <w:tc>
          <w:tcPr>
            <w:tcW w:w="40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8,466</w:t>
            </w:r>
          </w:p>
        </w:tc>
        <w:tc>
          <w:tcPr>
            <w:tcW w:w="30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7,688</w:t>
            </w:r>
          </w:p>
        </w:tc>
        <w:tc>
          <w:tcPr>
            <w:tcW w:w="3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6,977</w:t>
            </w:r>
          </w:p>
        </w:tc>
      </w:tr>
      <w:tr>
        <w:trPr>
          <w:trHeight w:val="270"/>
        </w:trPr>
        <w:tc>
          <w:tcPr>
            <w:tcW w:w="4700" w:type="dxa"/>
            <w:vAlign w:val="bottom"/>
            <w:shd w:val="clear" w:color="auto" w:fill="CCEEFF"/>
          </w:tcPr>
          <w:p>
            <w:pPr>
              <w:ind w:left="220"/>
              <w:spacing w:after="0" w:line="270" w:lineRule="exact"/>
              <w:rPr>
                <w:sz w:val="20"/>
                <w:szCs w:val="20"/>
                <w:color w:val="auto"/>
              </w:rPr>
            </w:pPr>
            <w:r>
              <w:rPr>
                <w:rFonts w:ascii="Times New Roman" w:cs="Times New Roman" w:eastAsia="Times New Roman" w:hAnsi="Times New Roman"/>
                <w:sz w:val="18"/>
                <w:szCs w:val="18"/>
                <w:color w:val="auto"/>
              </w:rPr>
              <w:t xml:space="preserve">ETP </w:t>
            </w:r>
            <w:r>
              <w:rPr>
                <w:rFonts w:ascii="Times New Roman" w:cs="Times New Roman" w:eastAsia="Times New Roman" w:hAnsi="Times New Roman"/>
                <w:sz w:val="25"/>
                <w:szCs w:val="25"/>
                <w:color w:val="auto"/>
                <w:vertAlign w:val="superscript"/>
              </w:rPr>
              <w:t>(3)</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67.93</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63.37</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58.18</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56.02</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Lodging</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700" w:type="dxa"/>
            <w:vAlign w:val="bottom"/>
            <w:shd w:val="clear" w:color="auto" w:fill="CCEEFF"/>
          </w:tcPr>
          <w:p>
            <w:pPr>
              <w:ind w:left="220"/>
              <w:spacing w:after="0" w:line="270" w:lineRule="exact"/>
              <w:rPr>
                <w:sz w:val="20"/>
                <w:szCs w:val="20"/>
                <w:color w:val="auto"/>
              </w:rPr>
            </w:pPr>
            <w:r>
              <w:rPr>
                <w:rFonts w:ascii="Times New Roman" w:cs="Times New Roman" w:eastAsia="Times New Roman" w:hAnsi="Times New Roman"/>
                <w:sz w:val="18"/>
                <w:szCs w:val="18"/>
                <w:color w:val="auto"/>
              </w:rPr>
              <w:t>ADR</w:t>
            </w:r>
            <w:r>
              <w:rPr>
                <w:rFonts w:ascii="Times New Roman" w:cs="Times New Roman" w:eastAsia="Times New Roman" w:hAnsi="Times New Roman"/>
                <w:sz w:val="25"/>
                <w:szCs w:val="25"/>
                <w:color w:val="auto"/>
                <w:vertAlign w:val="superscript"/>
              </w:rPr>
              <w:t>(4)</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302.80</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280.38</w:t>
            </w: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270.84</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257.14</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253.91</w:t>
            </w:r>
          </w:p>
        </w:tc>
      </w:tr>
      <w:tr>
        <w:trPr>
          <w:trHeight w:val="270"/>
        </w:trPr>
        <w:tc>
          <w:tcPr>
            <w:tcW w:w="4700" w:type="dxa"/>
            <w:vAlign w:val="bottom"/>
          </w:tcPr>
          <w:p>
            <w:pPr>
              <w:ind w:left="220"/>
              <w:spacing w:after="0" w:line="270" w:lineRule="exact"/>
              <w:rPr>
                <w:sz w:val="20"/>
                <w:szCs w:val="20"/>
                <w:color w:val="auto"/>
              </w:rPr>
            </w:pPr>
            <w:r>
              <w:rPr>
                <w:rFonts w:ascii="Times New Roman" w:cs="Times New Roman" w:eastAsia="Times New Roman" w:hAnsi="Times New Roman"/>
                <w:sz w:val="18"/>
                <w:szCs w:val="18"/>
                <w:color w:val="auto"/>
              </w:rPr>
              <w:t>RevPAR</w:t>
            </w:r>
            <w:r>
              <w:rPr>
                <w:rFonts w:ascii="Times New Roman" w:cs="Times New Roman" w:eastAsia="Times New Roman" w:hAnsi="Times New Roman"/>
                <w:sz w:val="25"/>
                <w:szCs w:val="25"/>
                <w:color w:val="auto"/>
                <w:vertAlign w:val="superscript"/>
              </w:rPr>
              <w:t>(5)</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127.95</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122.61</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112.67</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100.57</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91.76</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70"/>
        </w:trPr>
        <w:tc>
          <w:tcPr>
            <w:tcW w:w="47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Real estate held for sale and investment</w:t>
            </w:r>
            <w:r>
              <w:rPr>
                <w:rFonts w:ascii="Times New Roman" w:cs="Times New Roman" w:eastAsia="Times New Roman" w:hAnsi="Times New Roman"/>
                <w:sz w:val="25"/>
                <w:szCs w:val="25"/>
                <w:color w:val="auto"/>
                <w:vertAlign w:val="superscript"/>
              </w:rPr>
              <w:t>(6)</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103,405</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111,088</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129,825</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157,858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195,230</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Balance Sheet Data</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70"/>
        </w:trPr>
        <w:tc>
          <w:tcPr>
            <w:tcW w:w="47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25"/>
                <w:szCs w:val="25"/>
                <w:color w:val="auto"/>
                <w:vertAlign w:val="superscript"/>
              </w:rPr>
              <w:t>(7)</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117,389</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67,897</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35,459</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44,406</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138,604</w:t>
            </w: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Total assets </w:t>
            </w:r>
            <w:r>
              <w:rPr>
                <w:rFonts w:ascii="Times New Roman" w:cs="Times New Roman" w:eastAsia="Times New Roman" w:hAnsi="Times New Roman"/>
                <w:sz w:val="25"/>
                <w:szCs w:val="25"/>
                <w:color w:val="auto"/>
                <w:vertAlign w:val="superscript"/>
              </w:rPr>
              <w:t>(8)</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4,110,718</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2,482,018</w:t>
            </w: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2,487,292</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2,169,552</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2,300,617</w:t>
            </w:r>
          </w:p>
        </w:tc>
      </w:tr>
      <w:tr>
        <w:trPr>
          <w:trHeight w:val="225"/>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net (including long-term debt due within one</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1,272,421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700,263</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814,501</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622,325</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789,242</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Net Debt </w:t>
            </w:r>
            <w:r>
              <w:rPr>
                <w:rFonts w:ascii="Times New Roman" w:cs="Times New Roman" w:eastAsia="Times New Roman" w:hAnsi="Times New Roman"/>
                <w:sz w:val="25"/>
                <w:szCs w:val="25"/>
                <w:color w:val="auto"/>
                <w:vertAlign w:val="superscript"/>
              </w:rPr>
              <w:t>(9)</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1,155,032</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632,366</w:t>
            </w: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779,042</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577,919</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650,638</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Vail Resorts, Inc. stockholders’ equity</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1,571,156</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874,540</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866,568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820,843</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823,868</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Footnotes to Selected Financial Data:</w:t>
      </w:r>
    </w:p>
    <w:p>
      <w:pPr>
        <w:spacing w:after="0" w:line="225" w:lineRule="exact"/>
        <w:rPr>
          <w:sz w:val="20"/>
          <w:szCs w:val="20"/>
          <w:color w:val="auto"/>
        </w:rPr>
      </w:pPr>
    </w:p>
    <w:p>
      <w:pPr>
        <w:jc w:val="both"/>
        <w:ind w:left="660" w:hanging="652"/>
        <w:spacing w:after="0" w:line="258" w:lineRule="auto"/>
        <w:tabs>
          <w:tab w:leader="none" w:pos="66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have made several mountain resort acquisitions during the past five years, which impacts comparability between years, including Stowe (acquired June 2017); Whistler Blackcomb (acquired in October 2016); Perisher (acquired in June 2015); Park City Mountain Resort (acquired in September 2014) and Canyons (transaction entered into in May 2013).</w:t>
      </w:r>
    </w:p>
    <w:p>
      <w:pPr>
        <w:spacing w:after="0" w:line="1" w:lineRule="exact"/>
        <w:rPr>
          <w:rFonts w:ascii="Times New Roman" w:cs="Times New Roman" w:eastAsia="Times New Roman" w:hAnsi="Times New Roman"/>
          <w:sz w:val="18"/>
          <w:szCs w:val="18"/>
          <w:i w:val="1"/>
          <w:iCs w:val="1"/>
          <w:color w:val="auto"/>
        </w:rPr>
      </w:pPr>
    </w:p>
    <w:p>
      <w:pPr>
        <w:ind w:left="660" w:right="20" w:hanging="652"/>
        <w:spacing w:after="0" w:line="250" w:lineRule="auto"/>
        <w:tabs>
          <w:tab w:leader="none" w:pos="66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skier visit represents a person utilizing a ticket or pass to access a mountain resort or urban ski area for any part of one day during a winter ski season and includes both paid and complimentary access.</w:t>
      </w:r>
    </w:p>
    <w:p>
      <w:pPr>
        <w:ind w:left="660" w:hanging="652"/>
        <w:spacing w:after="0"/>
        <w:tabs>
          <w:tab w:leader="none" w:pos="66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ETP is calculated by dividing lift revenue by total skier visits during the respective periods.</w:t>
      </w:r>
    </w:p>
    <w:p>
      <w:pPr>
        <w:spacing w:after="0" w:line="9" w:lineRule="exact"/>
        <w:rPr>
          <w:rFonts w:ascii="Times New Roman" w:cs="Times New Roman" w:eastAsia="Times New Roman" w:hAnsi="Times New Roman"/>
          <w:sz w:val="18"/>
          <w:szCs w:val="18"/>
          <w:i w:val="1"/>
          <w:iCs w:val="1"/>
          <w:color w:val="auto"/>
        </w:rPr>
      </w:pPr>
    </w:p>
    <w:p>
      <w:pPr>
        <w:ind w:left="660" w:hanging="652"/>
        <w:spacing w:after="0" w:line="250" w:lineRule="auto"/>
        <w:tabs>
          <w:tab w:leader="none" w:pos="66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ADR is calculated by dividing total room revenue (includes both owned room and managed condominium unit revenue) by the number of occupied rooms during the respective periods.</w:t>
      </w:r>
    </w:p>
    <w:p>
      <w:pPr>
        <w:ind w:left="660" w:right="20" w:hanging="652"/>
        <w:spacing w:after="0" w:line="250" w:lineRule="auto"/>
        <w:tabs>
          <w:tab w:leader="none" w:pos="66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RevPAR is calculated by dividing total room revenue (includes both owned room and managed condominium unit revenue) by the number of rooms that are available to guests during the respective periods.</w:t>
      </w:r>
    </w:p>
    <w:p>
      <w:pPr>
        <w:ind w:left="1300" w:hanging="1292"/>
        <w:spacing w:after="0" w:line="250" w:lineRule="auto"/>
        <w:tabs>
          <w:tab w:leader="none" w:pos="652"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Real estate held for sale and investment includes all land, development costs and other improvements associated with real estate held for sale and investment.</w:t>
      </w:r>
    </w:p>
    <w:p>
      <w:pPr>
        <w:ind w:left="660" w:hanging="652"/>
        <w:spacing w:after="0"/>
        <w:tabs>
          <w:tab w:leader="none" w:pos="66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Cash and cash equivalents exclude restricted cash.</w:t>
      </w:r>
    </w:p>
    <w:p>
      <w:pPr>
        <w:spacing w:after="0" w:line="9" w:lineRule="exact"/>
        <w:rPr>
          <w:rFonts w:ascii="Times New Roman" w:cs="Times New Roman" w:eastAsia="Times New Roman" w:hAnsi="Times New Roman"/>
          <w:sz w:val="18"/>
          <w:szCs w:val="18"/>
          <w:i w:val="1"/>
          <w:iCs w:val="1"/>
          <w:color w:val="auto"/>
        </w:rPr>
      </w:pPr>
    </w:p>
    <w:p>
      <w:pPr>
        <w:ind w:left="1300" w:hanging="1292"/>
        <w:spacing w:after="0" w:line="261" w:lineRule="auto"/>
        <w:tabs>
          <w:tab w:leader="none" w:pos="652"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adopted a new accounting pronouncement as of July 31, 2016, which requires that deferred tax assets and liabilities be classified as noncurrent on the balance sheet. This adoption was applied prospectively and, as such, prior periods have not been adjusted.</w:t>
      </w:r>
    </w:p>
    <w:p>
      <w:pPr>
        <w:sectPr>
          <w:pgSz w:w="11900" w:h="16838" w:orient="portrait"/>
          <w:cols w:equalWidth="0" w:num="1">
            <w:col w:w="11420"/>
          </w:cols>
          <w:pgMar w:left="240" w:top="1171"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71" w:right="239" w:bottom="1440" w:gutter="0" w:footer="0" w:header="0"/>
          <w:type w:val="continuous"/>
        </w:sectPr>
      </w:pPr>
    </w:p>
    <w:bookmarkStart w:id="37" w:name="page38"/>
    <w:bookmarkEnd w:id="37"/>
    <w:p>
      <w:pPr>
        <w:ind w:left="652" w:hanging="652"/>
        <w:spacing w:after="0"/>
        <w:tabs>
          <w:tab w:leader="none" w:pos="652" w:val="left"/>
        </w:tabs>
        <w:numPr>
          <w:ilvl w:val="0"/>
          <w:numId w:val="3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Net Debt, a non-GAAP financial measure, is defined as long-term debt, net plus long-term debt due within one year less cash and cash equivalents.</w:t>
      </w:r>
    </w:p>
    <w:p>
      <w:pPr>
        <w:sectPr>
          <w:pgSz w:w="11900" w:h="16838" w:orient="portrait"/>
          <w:cols w:equalWidth="0" w:num="1">
            <w:col w:w="11272"/>
          </w:cols>
          <w:pgMar w:left="248" w:top="1011" w:right="379" w:bottom="1440" w:gutter="0" w:footer="0" w:header="0"/>
        </w:sectPr>
      </w:pPr>
    </w:p>
    <w:p>
      <w:pPr>
        <w:spacing w:after="0" w:line="266"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72"/>
          </w:cols>
          <w:pgMar w:left="248" w:top="1011" w:right="379" w:bottom="1440" w:gutter="0" w:footer="0" w:header="0"/>
          <w:type w:val="continuous"/>
        </w:sectPr>
      </w:pPr>
    </w:p>
    <w:bookmarkStart w:id="38" w:name="page39"/>
    <w:bookmarkEnd w:id="38"/>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should be read in conjunction with the Consolidated Financial Statements and notes related thereto included in this Form 10-K. To the extent that the following MD&amp;A contains statements which are not of a historical nature, such statements are forward-looking statements which involve risks and uncertainties. These risks include, but are not limited to, those discussed in Item 1A, “Risk Factors” in this Form 10-K. The following discussion and analysis should be read in conjunction with the Forward-Looking Statements section and Item 1A, “Risk Factors” each included in this Form 10-K.</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MD&amp;A includes discussion of financial performance within each of our three segments. We have chosen to specifically include Reported EBITDA (defined as segment net revenue less segment operating expense; and for the Mountain segment, plus segment equity investment income, plus gain on litigation settlement; and for the Real Estate segment, plus gain on sale of real property) and Net Debt (defined as long-term debt, net plus long-term debt due within one year less cash and cash equivalents), in the following discussion because we consider these measurements to be significant indications of our financial performance and available capital resources. Resort Reported EBITDA, Total Reported EBITDA and Net Debt are not measures of financial performance or liquidity defined under generally accepted accounting principles (“GAAP”). We utilize Reported EBITDA in evaluating our performance and in allocating resources to our segments. Refer to the end of the Results of Operations section for a reconciliation of Reported EBITDA to net income attributable to Vail Resorts, Inc. We also believe that Net Debt is an important measurement as it is an indicator of our ability to obtain additional capital resources for our future cash needs. Refer to the end of the Results of Operations section for a reconciliation of Net Debt to long-term debt, net.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Items excluded from Reported EBITDA and Net Debt are significant components in understanding and assessing financial performance or liquidity. Reported EBITDA and Net Debt should not be considered in isolation or as an alternative to, or substitute for, net income, net change in cash and cash equivalents or other financial statement data presented in the Consolidated Financial Statements as indicators of financial performance or liquidity. Because Resort Reported EBITDA, Total Reported EBITDA and Net Debt are not measurements determined in accordance with GAAP and are thus susceptible to varying calculations, Resort Reported EBITDA, Total Reported EBITDA and Net Debt, as presented herein, may not be comparable to other similarly titled measures of other companies. In addition, our segment Reported EBITDA (i.e. Mountain, Lodging and Real Estate), the measure of segment profit or loss required to be disclosed in accordance with GAAP, may not be comparable to other similarly titled measures of other companies.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are grouped into three integrated and interdependent segments: Mountain, Lodging and Real Estate. Resort is the combination of the Mountain and Lodging segments. The Mountain, Lodging and Real Estate segments represented approximately 85%, 14% and 1%, respectively, of our net revenue for Fiscal 2017.</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008"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Mountain Segment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Mountain segment is comprised of the operations of eleven mountain resort properties and three urban ski areas including:</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Mountain Resorts:</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Location:</w:t>
            </w:r>
          </w:p>
        </w:tc>
      </w:tr>
      <w:tr>
        <w:trPr>
          <w:trHeight w:val="27"/>
        </w:trPr>
        <w:tc>
          <w:tcPr>
            <w:tcW w:w="460" w:type="dxa"/>
            <w:vAlign w:val="bottom"/>
            <w:tcBorders>
              <w:bottom w:val="single" w:sz="8" w:color="auto"/>
            </w:tcBorders>
          </w:tcPr>
          <w:p>
            <w:pPr>
              <w:spacing w:after="0"/>
              <w:rPr>
                <w:sz w:val="2"/>
                <w:szCs w:val="2"/>
                <w:color w:val="auto"/>
              </w:rPr>
            </w:pPr>
          </w:p>
        </w:tc>
        <w:tc>
          <w:tcPr>
            <w:tcW w:w="6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44"/>
        </w:trPr>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Vail Mountain Resort (“Vail Mountain”)</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w:t>
            </w: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Breckenridge Ski Resort (“Breckenridge”)</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Colorado</w:t>
            </w:r>
          </w:p>
        </w:tc>
      </w:tr>
      <w:tr>
        <w:trPr>
          <w:trHeight w:val="27"/>
        </w:trPr>
        <w:tc>
          <w:tcPr>
            <w:tcW w:w="4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Keystone Resort (“Keystone”)</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w:t>
            </w: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Beaver Creek Resort (“Beaver Creek”)</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Colorado</w:t>
            </w:r>
          </w:p>
        </w:tc>
      </w:tr>
      <w:tr>
        <w:trPr>
          <w:trHeight w:val="27"/>
        </w:trPr>
        <w:tc>
          <w:tcPr>
            <w:tcW w:w="4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Park City Resort (“Park City”)</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Utah</w:t>
            </w:r>
          </w:p>
        </w:tc>
      </w:tr>
      <w:tr>
        <w:trPr>
          <w:trHeight w:val="243"/>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w:t>
            </w: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Heavenly Mountain Resort (“Heavenly”)</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Lake Tahoe area of Nevada and California</w:t>
            </w:r>
          </w:p>
        </w:tc>
      </w:tr>
      <w:tr>
        <w:trPr>
          <w:trHeight w:val="27"/>
        </w:trPr>
        <w:tc>
          <w:tcPr>
            <w:tcW w:w="4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Northstar Resort (“Northstar”)</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Lake Tahoe area of California</w:t>
            </w:r>
          </w:p>
        </w:tc>
      </w:tr>
      <w:tr>
        <w:trPr>
          <w:trHeight w:val="243"/>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w:t>
            </w: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Kirkwood Mountain Resort (“Kirkwood”)</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Lake Tahoe area of California</w:t>
            </w:r>
          </w:p>
        </w:tc>
      </w:tr>
      <w:tr>
        <w:trPr>
          <w:trHeight w:val="27"/>
        </w:trPr>
        <w:tc>
          <w:tcPr>
            <w:tcW w:w="4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Perisher Ski Resort (“Perisher”)</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New South Wales, Australia</w:t>
            </w:r>
          </w:p>
        </w:tc>
      </w:tr>
      <w:tr>
        <w:trPr>
          <w:trHeight w:val="243"/>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w:t>
            </w: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Whistler Blackcomb Resort (“Whistler Blackcomb”)</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British Columbia, Canada</w:t>
            </w:r>
          </w:p>
        </w:tc>
      </w:tr>
      <w:tr>
        <w:trPr>
          <w:trHeight w:val="27"/>
        </w:trPr>
        <w:tc>
          <w:tcPr>
            <w:tcW w:w="4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Stowe Mountain Resort (“Stowe”)</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Vermont</w:t>
            </w:r>
          </w:p>
        </w:tc>
      </w:tr>
      <w:tr>
        <w:trPr>
          <w:trHeight w:val="243"/>
        </w:trPr>
        <w:tc>
          <w:tcPr>
            <w:tcW w:w="7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Urban Ski Areas (“Urban”):</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Location:</w:t>
            </w:r>
          </w:p>
        </w:tc>
      </w:tr>
      <w:tr>
        <w:trPr>
          <w:trHeight w:val="27"/>
        </w:trPr>
        <w:tc>
          <w:tcPr>
            <w:tcW w:w="460" w:type="dxa"/>
            <w:vAlign w:val="bottom"/>
            <w:tcBorders>
              <w:bottom w:val="single" w:sz="8" w:color="auto"/>
            </w:tcBorders>
          </w:tcPr>
          <w:p>
            <w:pPr>
              <w:spacing w:after="0"/>
              <w:rPr>
                <w:sz w:val="2"/>
                <w:szCs w:val="2"/>
                <w:color w:val="auto"/>
              </w:rPr>
            </w:pPr>
          </w:p>
        </w:tc>
        <w:tc>
          <w:tcPr>
            <w:tcW w:w="6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44"/>
        </w:trPr>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Wilmot Mountain (“Wilmot”)</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Wisconsin</w:t>
            </w:r>
          </w:p>
        </w:tc>
      </w:tr>
      <w:tr>
        <w:trPr>
          <w:trHeight w:val="243"/>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w:t>
            </w: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Afton Alps Ski Area (“Afton Alps”)</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Minnesota</w:t>
            </w:r>
          </w:p>
        </w:tc>
      </w:tr>
      <w:tr>
        <w:trPr>
          <w:trHeight w:val="27"/>
        </w:trPr>
        <w:tc>
          <w:tcPr>
            <w:tcW w:w="4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43"/>
        </w:trPr>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w:t>
            </w:r>
          </w:p>
        </w:tc>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Mount Brighton Ski Area (“Mt. Brighton”)</w:t>
            </w:r>
          </w:p>
        </w:tc>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Michigan</w:t>
            </w:r>
          </w:p>
        </w:tc>
      </w:tr>
      <w:tr>
        <w:trPr>
          <w:trHeight w:val="27"/>
        </w:trPr>
        <w:tc>
          <w:tcPr>
            <w:tcW w:w="460" w:type="dxa"/>
            <w:vAlign w:val="bottom"/>
            <w:shd w:val="clear" w:color="auto" w:fill="CCEEFF"/>
          </w:tcPr>
          <w:p>
            <w:pPr>
              <w:spacing w:after="0"/>
              <w:rPr>
                <w:sz w:val="2"/>
                <w:szCs w:val="2"/>
                <w:color w:val="auto"/>
              </w:rPr>
            </w:pPr>
          </w:p>
        </w:tc>
        <w:tc>
          <w:tcPr>
            <w:tcW w:w="6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the Company operates ancillary services, primarily including ski school, dining and retail/rental operations, and for Perisher, including lodging and transportation operations. Mountain segment revenue is seasonal, with the majority of revenue earned from our North American mountain resorts and Urban ski areas occurring in our second and third fiscal quarters and the majority of revenue earned from Perisher occurring in our first and fourth fiscal quarters. Our North American mountain resorts were open for business for the 2016/2017 ski season primarily from mid-November through mid-April, which is the peak operating season for the Mountain segment. Our single largest source of Mountain segment revenue is the sale of lift tickets (including season passes), which represented approximately 51%, 50% and 49% of Mountain segment net revenue for Fiscal 2017, Fiscal 2016 and Fiscal 2015, respectively.</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Lift revenue is driven by volume and pricing. Pricing is impacted by both absolute pricing, as well as the demographic mix of guests, which impacts the price points at which various products are purchased. The demographic mix of guests to our U.S. mountain resorts is divided into two primary categories: (1) out-of-state and international (“Destination”) guests and (2) in-state and local (“Local”) guests. For the 2016/2017 U.S. ski season, Destination guests comprised approximately 61% of our U.S. mountain resort skier visits, while Local guests comprised approximately 39% of our U.S. mountain resort skier visits, which compares to approximately 58% and 42%, respectively, for the 2015/2016 U.S. ski season and 59% and 41%, respectively, for the 2014/2015 U.S. ski season.</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Destination guests generally purchase our higher-priced lift ticket products and utilize more ancillary services such as ski school, dining and retail/rental, as well as lodging at or around our mountain resorts. Destination guest visitation is less likely to be impacted by changes in the weather but may be more impacted by adverse economic conditions or the global geopolitical climate. Local guests tend to be more value-oriented and weather sensitive. We offer a variety of season pass products for all of our mountain resorts and Urban ski areas (collectively, “Resorts”), marketed towards both Destination and Local guests. Our season pass product offerings range from providing access to one or a combination of our Resorts to our Epic Season Pass, which allows pass holders unlimited and unrestricted access to all of our Resorts. Our season pass program provides a compelling value proposition to our guests, which in turn assists us in developing a loyal base of customers who commit to ski at our Resorts generally in advance of the ski season and typically ski more days each season at our Resorts than those guests who do not buy season passes. As such, our season pass program drives strong customer loyalty; mitigates exposure to more weather sensitive guests; generates additional ancillary spending; and, provides cash flow in advance of winter season operations. In addition, our season pass program attracts new guests to our Resorts. All of our season pass products, including the Epic Pass, are predominately sold prior to the start of the ski season. Season pass revenue, although primarily collected prior to the ski season, is recognized in the Consolidated Statement of Operations ratably throughout the ski season.</w:t>
      </w:r>
    </w:p>
    <w:p>
      <w:pPr>
        <w:spacing w:after="0" w:line="1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acquisition of Whistler Blackcomb, lift revenue includes certain products that were not available for sale in the prior comparative periods, primarily Whistler Blackcomb season passes and EDGE Cards. EDGE Cards are products, exclusively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009" w:right="239" w:bottom="1440" w:gutter="0" w:footer="0" w:header="0"/>
        </w:sectPr>
      </w:pPr>
    </w:p>
    <w:bookmarkStart w:id="40" w:name="page41"/>
    <w:bookmarkEnd w:id="40"/>
    <w:p>
      <w:pPr>
        <w:jc w:val="both"/>
        <w:spacing w:after="0" w:line="261" w:lineRule="auto"/>
        <w:rPr>
          <w:sz w:val="20"/>
          <w:szCs w:val="20"/>
          <w:color w:val="auto"/>
        </w:rPr>
      </w:pPr>
      <w:r>
        <w:rPr>
          <w:rFonts w:ascii="Times New Roman" w:cs="Times New Roman" w:eastAsia="Times New Roman" w:hAnsi="Times New Roman"/>
          <w:sz w:val="18"/>
          <w:szCs w:val="18"/>
          <w:color w:val="auto"/>
        </w:rPr>
        <w:t>available to Canadian, Washington State and Oregon residents that allow these guests to purchase lift access in advance of visitation, usually at a discounted price, and are available for sale throughout the ski season unlike our Epic Season Pass program, which generally requires a commitment in advance of the ski season. Accordingly, lift revenue consists of season pass and certain EDGE Card lift revenue (“pass revenue”) and non-season pass lift revenue (“non-pass revenue”). Approximately 43%, 40% and 40% of total lift revenue was derived from pass revenue for Fiscal 2017, Fiscal 2016 and Fiscal 2015,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 structure of our mountain resort operations has a significant fixed component with variable expenses including, but not limited to, land use permit or lease fees, credit card fees, retail/rental cost of sales and labor, ski school labor and dining operations; as such, profit margins can fluctuate greatly based on the level of revenues.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Lodging Segment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Operations within the Lodging segment include (i) ownership/management of a group of luxury hotels through the RockResorts brand proximate to our Colorado mountain resorts; (ii) ownership/management of non-RockResorts branded hotels and condominiums proximate to our North American mountain resorts; (iii) National Park Service (“NPS”) concessionaire properties including Grand Teton Lodging Company (“GTLC”); (iv) Colorado Mountain Express (“CME”), a Colorado resort ground transportation company; and, (v) mountain resort golf courses.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performance of our lodging properties (including managed condominium units) proximate to our mountain resorts as well as CME is closely aligned with the performance of the Mountain segment and generally experiences similar seasonal trends, particularly with respect to visitation by Destination guests. Revenue from our lodging properties (including managed condominium units) proximate to our mountain resorts represented approximately 68%, 69% and 70% of Lodging segment net revenue (excluding Lodging segment revenue associated with reimbursement of payroll costs) for Fiscal 2017, Fiscal 2016 and Fiscal 2015, respectively. Management primarily focuses on Lodging net revenue excluding payroll cost reimbursements and Lodging operating expense excluding reimbursed payroll costs (which are not measures of financial performance under GAAP) as the reimbursements are made based upon the costs incurred with no added margin, as such the revenue and corresponding expense have no effect on our Lodging Reported EBITDA which we use to evaluate Lodging segment performance. Revenue of the Lodging segment during our first and fourth fiscal quarters is generated primarily by the operations of our NPS concessionaire properties (as their operating season generally occurs from June to the end of September); mountain resort golf operations and seasonally lower volume from our other owned and managed properties and businesses.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Segment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Additionally, real estate development projects by third-party developers most often result in the creation of certain resort assets that provide additional benefit to the Mountain segment. We believe that, due to our low carrying cost of real estate land investments, we are well situated to promote future projects by third-party developers while limiting our financial risk. Our revenue from the Real Estate segment and associated expense can fluctuate significantly based upon the timing of closings and the type of real estate being sold, causing volatility in the Real Estate segment’s operating results from period to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Trends, Risks and Uncertainties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identified the following important factors (as well as uncertainties associated with such factors) that could impact our future financial performance:</w:t>
      </w:r>
    </w:p>
    <w:p>
      <w:pPr>
        <w:spacing w:after="0" w:line="117" w:lineRule="exact"/>
        <w:rPr>
          <w:sz w:val="20"/>
          <w:szCs w:val="20"/>
          <w:color w:val="auto"/>
        </w:rPr>
      </w:pPr>
    </w:p>
    <w:p>
      <w:pPr>
        <w:jc w:val="both"/>
        <w:ind w:left="820" w:hanging="650"/>
        <w:spacing w:after="0" w:line="254" w:lineRule="auto"/>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snowfall can have an impact on Mountain and Lodging revenue, particularly with regard to skier visits and the duration and frequency of guest visitation. To help mitigate this impact, we sell a variety of season pass products prior to the beginning of the ski season, resulting in a more stabilized stream of lift revenue. Additionally, our season pass products provide a compelling value proposition to our guests, which in turn creates a guest commitment predominantly prior to the start of the ski season. In March 2017, we began our pre-season pass sales program for the 2017/2018 North American ski season. Through September 24, 2017, pre-season pass sales for the upcoming 2017/2018 North American ski season have increased approximately 17% in units and increased approximately 23% in sales dollars, compared to the prior year period ended September 25, 2016, including Whistler Blackcomb and Stowe pass sales in both periods, adjusted to eliminate the impact of foreign currency by applying current period exchange rates to the prior period. However, we cannot predict if this favorable trend will continue for the entire duration of the fall 2017 North American pass sales campaign, nor can we predict the overall impact that season pass sales will have on lift revenue for the 2017/2018 North American ski season.</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013" w:right="239" w:bottom="1440" w:gutter="0" w:footer="0" w:header="0"/>
        </w:sectPr>
      </w:pPr>
    </w:p>
    <w:bookmarkStart w:id="41" w:name="page42"/>
    <w:bookmarkEnd w:id="41"/>
    <w:p>
      <w:pPr>
        <w:jc w:val="both"/>
        <w:ind w:left="650" w:hanging="650"/>
        <w:spacing w:after="0" w:line="261" w:lineRule="auto"/>
        <w:tabs>
          <w:tab w:leader="none" w:pos="65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17, 2016, the Company, through its wholly-owned Canadian subsidiary (“Exchangeco”), acquired all of the outstanding common shares of Whistler Blackcomb for aggregate consideration to Whistler Blackcomb shareholders of approximately $1.09 billion, consisting of</w:t>
      </w:r>
    </w:p>
    <w:p>
      <w:pPr>
        <w:ind w:left="910" w:hanging="262"/>
        <w:spacing w:after="0"/>
        <w:tabs>
          <w:tab w:leader="none" w:pos="91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C$673.8 million in cash (or C$17.50 per Whistler Blackcomb share), (ii) 3,327,719 shares of our common stock, and</w:t>
      </w:r>
    </w:p>
    <w:p>
      <w:pPr>
        <w:spacing w:after="0" w:line="9" w:lineRule="exact"/>
        <w:rPr>
          <w:rFonts w:ascii="Times New Roman" w:cs="Times New Roman" w:eastAsia="Times New Roman" w:hAnsi="Times New Roman"/>
          <w:sz w:val="18"/>
          <w:szCs w:val="18"/>
          <w:color w:val="auto"/>
        </w:rPr>
      </w:pPr>
    </w:p>
    <w:p>
      <w:pPr>
        <w:jc w:val="both"/>
        <w:ind w:left="650" w:hanging="2"/>
        <w:spacing w:after="0" w:line="251" w:lineRule="auto"/>
        <w:tabs>
          <w:tab w:leader="none" w:pos="97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418,095 shares of Exchangeco (the “Exchangeco Shares”). The cash purchase consideration portion was funded through borrowings from an incremental term loan under our Seventh Amended and Restated Credit Agreement (the “Vail Holdings Credit Agreement”). Whistler Blackcomb, through a 75% ownership interest in Whistler Mountain Resort Limited Partnership and a 75% ownership interest in Blackcomb Skiing Enterprises Limited Partnership, collectively (the “WB Partnerships”), operates a four season mountain resort that features two adjacent and integrated mountains, Whistler Mountain and Blackcomb Mountain. The remaining 25% ownership interest in each of the WB Partnerships is held by Nippon Cable, an unrelated party to Vail Resorts. We expect that Whistler Blackcomb will significantly contribute to our results of operations; however, we cannot predict whether we will realize all of the expected synergies from the combination of the operations of Whistler Blackcomb nor can we predict all the resources required to integrate Whistler Blackcomb operations and the ultimate impact Whistler Blackcomb will have on our future results of operations.</w:t>
      </w:r>
    </w:p>
    <w:p>
      <w:pPr>
        <w:spacing w:after="0" w:line="194" w:lineRule="exact"/>
        <w:rPr>
          <w:sz w:val="20"/>
          <w:szCs w:val="20"/>
          <w:color w:val="auto"/>
        </w:rPr>
      </w:pPr>
    </w:p>
    <w:p>
      <w:pPr>
        <w:jc w:val="both"/>
        <w:ind w:left="650"/>
        <w:spacing w:after="0" w:line="258" w:lineRule="auto"/>
        <w:rPr>
          <w:sz w:val="20"/>
          <w:szCs w:val="20"/>
          <w:color w:val="auto"/>
        </w:rPr>
      </w:pPr>
      <w:r>
        <w:rPr>
          <w:rFonts w:ascii="Times New Roman" w:cs="Times New Roman" w:eastAsia="Times New Roman" w:hAnsi="Times New Roman"/>
          <w:sz w:val="18"/>
          <w:szCs w:val="18"/>
          <w:color w:val="auto"/>
        </w:rPr>
        <w:t>The estimated fair values of assets acquired and liabilities assumed in the Whistler Blackcomb acquisition are substantially complete and are based on the information that was available as of the acquisition date. We believe that information provides a reasonable basis for estimating the fair values of assets acquired and liabilities assumed; however, we are obtaining additional information necessary to finalize those estimated fair values. Therefore, the measurements of estimated fair value reflected within the Consolidated Balance Sheets as of July 31, 2017 and their associated impact to our Consolidated Statements of Operations are subject to change.</w:t>
      </w:r>
    </w:p>
    <w:p>
      <w:pPr>
        <w:spacing w:after="0" w:line="184" w:lineRule="exact"/>
        <w:rPr>
          <w:sz w:val="20"/>
          <w:szCs w:val="20"/>
          <w:color w:val="auto"/>
        </w:rPr>
      </w:pPr>
    </w:p>
    <w:p>
      <w:pPr>
        <w:jc w:val="both"/>
        <w:ind w:left="650" w:hanging="650"/>
        <w:spacing w:after="0" w:line="266" w:lineRule="auto"/>
        <w:tabs>
          <w:tab w:leader="none" w:pos="65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2017, our lift revenue was favorably impacted by non-pass price increases at our mountain resorts that were implemented for the 2016/2017 North American ski season. Non-pass prices for the 2017/2018 North American ski season have not yet been finalized; and, as such, there can be no assurances as to the level of price increases, if any, which will occur and the impact that pricing may have on visitation or revenue.</w:t>
      </w:r>
    </w:p>
    <w:p>
      <w:pPr>
        <w:spacing w:after="0" w:line="176" w:lineRule="exact"/>
        <w:rPr>
          <w:rFonts w:ascii="Times New Roman" w:cs="Times New Roman" w:eastAsia="Times New Roman" w:hAnsi="Times New Roman"/>
          <w:sz w:val="18"/>
          <w:szCs w:val="18"/>
          <w:color w:val="auto"/>
        </w:rPr>
      </w:pPr>
    </w:p>
    <w:p>
      <w:pPr>
        <w:jc w:val="both"/>
        <w:ind w:left="650" w:hanging="650"/>
        <w:spacing w:after="0" w:line="255" w:lineRule="auto"/>
        <w:tabs>
          <w:tab w:leader="none" w:pos="65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Fiscal 2017 results for our Mountain segment showed strong improvement over Fiscal 2016 largely due to strong pass sales growth for the 2016/2017 North American ski season and the incremental operating results from the Whistler Blackcomb acquisition, as discussed above. However, our Fiscal 2017 results were tempered by poor early ski season conditions prior to the holiday period at our U.S. resorts, which drove lower skier visitation during the early ski season compared to Fiscal 2016. We cannot predict whether our resorts will experience normal snowfall conditions for the upcoming 2017/2018 North American ski season nor can we estimate the impact there may be to advance bookings, guest travel, season pass sales, lift revenue (excluding season passes), retail/rental sales or other ancillary services revenue next ski season as a result of past snowfall conditions.</w:t>
      </w:r>
    </w:p>
    <w:p>
      <w:pPr>
        <w:spacing w:after="0" w:line="189" w:lineRule="exact"/>
        <w:rPr>
          <w:rFonts w:ascii="Times New Roman" w:cs="Times New Roman" w:eastAsia="Times New Roman" w:hAnsi="Times New Roman"/>
          <w:sz w:val="18"/>
          <w:szCs w:val="18"/>
          <w:color w:val="auto"/>
        </w:rPr>
      </w:pPr>
    </w:p>
    <w:p>
      <w:pPr>
        <w:jc w:val="both"/>
        <w:ind w:left="650" w:hanging="650"/>
        <w:spacing w:after="0" w:line="258" w:lineRule="auto"/>
        <w:tabs>
          <w:tab w:leader="none" w:pos="65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U.S. economic indicators have remained steady in 2017, including strong consumer confidence and declines in the unemployment rate. However, the growth in the U.S. economy may be impacted by economic challenges in the U.S. or declining or slowing growth in economies outside of the U.S., accompanied by devaluation of currencies and lower commodity prices. Given these economic uncertainties, we cannot predict what the impact will be on overall travel and leisure spending or more specifically, on our guest visitation, guest spending or other related trends for the upcoming 2017/2018 U.S. ski season.</w:t>
      </w:r>
    </w:p>
    <w:p>
      <w:pPr>
        <w:spacing w:after="0" w:line="183" w:lineRule="exact"/>
        <w:rPr>
          <w:rFonts w:ascii="Times New Roman" w:cs="Times New Roman" w:eastAsia="Times New Roman" w:hAnsi="Times New Roman"/>
          <w:sz w:val="18"/>
          <w:szCs w:val="18"/>
          <w:color w:val="auto"/>
        </w:rPr>
      </w:pPr>
    </w:p>
    <w:p>
      <w:pPr>
        <w:jc w:val="both"/>
        <w:ind w:left="650" w:hanging="650"/>
        <w:spacing w:after="0" w:line="256" w:lineRule="auto"/>
        <w:tabs>
          <w:tab w:leader="none" w:pos="65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7, 2017, we acquired Stowe mountain resort in Stowe, Vermont, from Mt. Mansfield Company, Inc., a wholly-owned subsidiary of American International Group, Inc., for a cash purchase price of $40.9 million, subject to certain adjustments as provided in the purchase agreement. We acquired all of the assets related to the mountain operations of the resort, including base area skier services (food and beverage, retail and rental, lift ticket offices and ski and snowboard school facilities). We expect that Stowe will positively contribute to our results of operations; however, we cannot predict whether we will realize all of the synergies expected from the operations of Stowe and the ultimate impact Stowe will have on our future results of operations.</w:t>
      </w:r>
    </w:p>
    <w:p>
      <w:pPr>
        <w:spacing w:after="0" w:line="187" w:lineRule="exact"/>
        <w:rPr>
          <w:rFonts w:ascii="Times New Roman" w:cs="Times New Roman" w:eastAsia="Times New Roman" w:hAnsi="Times New Roman"/>
          <w:sz w:val="18"/>
          <w:szCs w:val="18"/>
          <w:color w:val="auto"/>
        </w:rPr>
      </w:pPr>
    </w:p>
    <w:p>
      <w:pPr>
        <w:jc w:val="both"/>
        <w:ind w:left="650" w:hanging="650"/>
        <w:spacing w:after="0" w:line="256" w:lineRule="auto"/>
        <w:tabs>
          <w:tab w:leader="none" w:pos="65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July 31, 2017, we had $117.4 million in cash and cash equivalents, as well as $280.2 million available under the revolver component of the Vail Holdings Credit Agreement (which represents the total commitment of $400.0 million less outstanding borrowings of $50.0 million and certain letters of credit outstanding of $69.8 million). Additionally, in October 2016 we amended our Vail Holdings Credit Agreement to provide for an incremental term loan of $509.4 million, for a total term loan amount outstanding of $750.0 million, to fund the cash portion of the Whistler Blackcomb acquisition. Also, we assumed in the Whistler Blackcomb acquisition a credit facility which supports the liquidity needs of Whistler Blackcomb (the “Whistler Credit Agreement”). As of July 31, 2017, we had C$158.0 million ($126.7</w:t>
      </w:r>
    </w:p>
    <w:p>
      <w:pPr>
        <w:spacing w:after="0" w:line="215"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50"/>
          </w:cols>
          <w:pgMar w:left="410" w:top="1229" w:right="239" w:bottom="1440" w:gutter="0" w:footer="0" w:header="0"/>
        </w:sectPr>
      </w:pPr>
    </w:p>
    <w:bookmarkStart w:id="42" w:name="page43"/>
    <w:bookmarkEnd w:id="42"/>
    <w:p>
      <w:pPr>
        <w:jc w:val="both"/>
        <w:ind w:left="820"/>
        <w:spacing w:after="0" w:line="313" w:lineRule="auto"/>
        <w:rPr>
          <w:sz w:val="20"/>
          <w:szCs w:val="20"/>
          <w:color w:val="auto"/>
        </w:rPr>
      </w:pPr>
      <w:r>
        <w:rPr>
          <w:rFonts w:ascii="Times New Roman" w:cs="Times New Roman" w:eastAsia="Times New Roman" w:hAnsi="Times New Roman"/>
          <w:sz w:val="18"/>
          <w:szCs w:val="18"/>
          <w:color w:val="auto"/>
        </w:rPr>
        <w:t>million) available under the revolver component of the Whistler Credit Agreement (which represents the total commitment of C$300.0 million ($240.7 million) less outstanding borrowings of C$141.0 million ($113.2 million) and a letter of credit outstanding of C$1.0 million ($0.8 million)).</w:t>
      </w:r>
    </w:p>
    <w:p>
      <w:pPr>
        <w:spacing w:after="0" w:line="149"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color w:val="auto"/>
        </w:rPr>
        <w:t>We believe that the terms of our Vail Holdings Credit Agreement allows for sufficient flexibility in our ability to make future acquisitions, investments, distributions to stockholders and incur additional debt. This, combined with the continued positive cash flow from operating activities of our Mountain and Lodging segments less resort capital expenditures, has and is anticipated to continue to provide us with significant liquidity. We believe our liquidity will allow us to consider strategic investments and other forms of returning value to our stockholders including additional share repurchases and the continued payment of a quarterly cash dividend.</w:t>
      </w:r>
    </w:p>
    <w:p>
      <w:pPr>
        <w:spacing w:after="0" w:line="184" w:lineRule="exact"/>
        <w:rPr>
          <w:sz w:val="20"/>
          <w:szCs w:val="20"/>
          <w:color w:val="auto"/>
        </w:rPr>
      </w:pPr>
    </w:p>
    <w:p>
      <w:pPr>
        <w:jc w:val="both"/>
        <w:ind w:left="820" w:hanging="650"/>
        <w:spacing w:after="0" w:line="252" w:lineRule="auto"/>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adoption of revised accounting guidance related to employee stock compensation during the first quarter of fiscal 2018, our provision for income taxes may change materially based on our closing stock price at the time stock-compensation awards vest or are exercised, depending on the nature of the award. A significant portion of our outstanding awards are significantly in-the-money based on our current stock price, and, to the extent exercised, could reduce our provision for income taxes. The aggregate intrinsic value of stock appreciation awards (“SAR”) exercisable as of July 31, 2017 was approximately $323.0 million with a weighted-average remaining contractual term of 3.7 years. The actual number of shares issuable upon exercise of SARs, after deducting shares withheld to pay employee taxes, as well as the incremental tax benefit for us, would vary depending on the stock price at the time of exercise and the amount of SARs that are exercised. We expect that holders of stock-compensation awards will exercise their awards before the expiration date of the awards. Depending on the amount of SARs exercised in fiscal 2018 and the then-current stock price, it is possible that such exercises could result in a material reduction to our provision for income taxes and could have a material favorable impact on our diluted net income per share attributable to Vail Resorts, Inc. As an example, assuming the new accounting guidance was in effect as of July 31, 2017 and that the outstanding SARs expiring prior to July 31, 2019 were exercised at the market closing price on July 31, 2017, this illustrative example would have resulted in a reduction to our provision for income taxes by approximately $45.0 million, resulting in an increase to diluted net income per share attributable to Vail Resorts, Inc. of approximately $1.10. Based on the assumptions above, we estimate that for every $5.00 per share change in our stock price there would be a corresponding change to our provision for income taxes of approximately $1.0 million. In addition, it is possible that SAR exercises could have a material impact on our “earnings and profits” and could result in a portion of dividend payments being considered a return of capital for stockholder tax purposes. The foregoing effects depend on, among other things, the stock price on the date of exercise and the number of SARs, if any, that are exercised.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Shown below is a summary of operating results for Fiscal 2017, Fiscal 2016 and Fiscal 2015 (in thousands):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Year Ended July 31,</w:t>
            </w:r>
          </w:p>
        </w:tc>
        <w:tc>
          <w:tcPr>
            <w:tcW w:w="5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5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5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Mountain Reported EBITDA</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9"/>
              </w:rPr>
              <w:t>566,338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424,415</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344,104</w:t>
            </w: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Lodging Reported EBITDA</w:t>
            </w:r>
          </w:p>
        </w:tc>
        <w:tc>
          <w:tcPr>
            <w:tcW w:w="112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27,087</w:t>
            </w:r>
          </w:p>
        </w:tc>
        <w:tc>
          <w:tcPr>
            <w:tcW w:w="20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28,169</w:t>
            </w:r>
          </w:p>
        </w:tc>
        <w:tc>
          <w:tcPr>
            <w:tcW w:w="5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21,676</w:t>
            </w:r>
          </w:p>
        </w:tc>
      </w:tr>
      <w:tr>
        <w:trPr>
          <w:trHeight w:val="27"/>
        </w:trPr>
        <w:tc>
          <w:tcPr>
            <w:tcW w:w="5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Resort Reported EBITDA</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9"/>
              </w:rPr>
              <w:t>593,425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452,584</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365,780</w:t>
            </w:r>
          </w:p>
        </w:tc>
      </w:tr>
      <w:tr>
        <w:trPr>
          <w:trHeight w:val="237"/>
        </w:trPr>
        <w:tc>
          <w:tcPr>
            <w:tcW w:w="57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1120" w:type="dxa"/>
            <w:vAlign w:val="bottom"/>
            <w:tcBorders>
              <w:top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(399)</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2,784</w:t>
            </w:r>
          </w:p>
        </w:tc>
        <w:tc>
          <w:tcPr>
            <w:tcW w:w="5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(6,915)</w:t>
            </w:r>
          </w:p>
        </w:tc>
      </w:tr>
      <w:tr>
        <w:trPr>
          <w:trHeight w:val="27"/>
        </w:trPr>
        <w:tc>
          <w:tcPr>
            <w:tcW w:w="5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9"/>
              </w:rPr>
              <w:t>348,449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242,619</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149,328</w:t>
            </w: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210,553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149,754</w:t>
            </w:r>
          </w:p>
        </w:tc>
        <w:tc>
          <w:tcPr>
            <w:tcW w:w="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114,754</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discussion of segment results, including reconciliations of segment Reported EBITDA to net income attributable to Vail Resorts, Inc., and other items can be found below.</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sections titled “Fiscal 2017 compared to Fiscal 2016” and “Fiscal 2016 compared to Fiscal 2015” in each of the Mountain and Lodging segment discussions below provide comparisons of financial and operating performance for Fiscal 2017 to Fiscal 2016 and Fiscal 2016 to Fiscal 2015, respectively, unless otherwise noted.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040"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Mountain Segment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 segment operating results for Fiscal 2017, Fiscal 2016 and Fiscal 2015 are presented by category as follows (in thousands, except ETP):</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180" w:type="dxa"/>
            <w:vAlign w:val="bottom"/>
          </w:tcPr>
          <w:p>
            <w:pPr>
              <w:spacing w:after="0"/>
              <w:rPr>
                <w:sz w:val="20"/>
                <w:szCs w:val="20"/>
                <w:color w:val="auto"/>
              </w:rPr>
            </w:pPr>
          </w:p>
        </w:tc>
      </w:tr>
      <w:tr>
        <w:trPr>
          <w:trHeight w:val="270"/>
        </w:trPr>
        <w:tc>
          <w:tcPr>
            <w:tcW w:w="3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July 31,</w:t>
            </w: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4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7"/>
        </w:trPr>
        <w:tc>
          <w:tcPr>
            <w:tcW w:w="3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440" w:type="dxa"/>
            <w:vAlign w:val="bottom"/>
          </w:tcPr>
          <w:p>
            <w:pPr>
              <w:spacing w:after="0"/>
              <w:rPr>
                <w:sz w:val="20"/>
                <w:szCs w:val="20"/>
                <w:color w:val="auto"/>
              </w:rPr>
            </w:pPr>
          </w:p>
        </w:tc>
        <w:tc>
          <w:tcPr>
            <w:tcW w:w="12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06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2017/2016</w:t>
            </w:r>
          </w:p>
        </w:tc>
        <w:tc>
          <w:tcPr>
            <w:tcW w:w="11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6"/>
              </w:rPr>
              <w:t>2016/2015</w:t>
            </w:r>
          </w:p>
        </w:tc>
      </w:tr>
      <w:tr>
        <w:trPr>
          <w:trHeight w:val="27"/>
        </w:trPr>
        <w:tc>
          <w:tcPr>
            <w:tcW w:w="3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Mountain net revenue: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3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Lift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818,341</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658,047</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536,458</w:t>
            </w:r>
          </w:p>
        </w:tc>
        <w:tc>
          <w:tcPr>
            <w:tcW w:w="100" w:type="dxa"/>
            <w:vAlign w:val="bottom"/>
          </w:tcPr>
          <w:p>
            <w:pPr>
              <w:spacing w:after="0"/>
              <w:rPr>
                <w:sz w:val="21"/>
                <w:szCs w:val="21"/>
                <w:color w:val="auto"/>
              </w:rPr>
            </w:pPr>
          </w:p>
        </w:tc>
        <w:tc>
          <w:tcPr>
            <w:tcW w:w="20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24.4%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22.7 %</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Ski school</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177,748</w:t>
            </w: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143,249</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126,206</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24.1%</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r>
      <w:tr>
        <w:trPr>
          <w:trHeight w:val="243"/>
        </w:trPr>
        <w:tc>
          <w:tcPr>
            <w:tcW w:w="3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Dining</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150,587</w:t>
            </w:r>
          </w:p>
        </w:tc>
        <w:tc>
          <w:tcPr>
            <w:tcW w:w="44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121,008</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101,010</w:t>
            </w:r>
          </w:p>
        </w:tc>
        <w:tc>
          <w:tcPr>
            <w:tcW w:w="100" w:type="dxa"/>
            <w:vAlign w:val="bottom"/>
          </w:tcPr>
          <w:p>
            <w:pPr>
              <w:spacing w:after="0"/>
              <w:rPr>
                <w:sz w:val="21"/>
                <w:szCs w:val="21"/>
                <w:color w:val="auto"/>
              </w:rPr>
            </w:pPr>
          </w:p>
        </w:tc>
        <w:tc>
          <w:tcPr>
            <w:tcW w:w="20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24.4%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19.8 %</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Retail/rental</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293,428</w:t>
            </w: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241,134</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219,153</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21.7%</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3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171,682</w:t>
            </w:r>
          </w:p>
        </w:tc>
        <w:tc>
          <w:tcPr>
            <w:tcW w:w="44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141,166</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121,202</w:t>
            </w:r>
          </w:p>
        </w:tc>
        <w:tc>
          <w:tcPr>
            <w:tcW w:w="100" w:type="dxa"/>
            <w:vAlign w:val="bottom"/>
          </w:tcPr>
          <w:p>
            <w:pPr>
              <w:spacing w:after="0"/>
              <w:rPr>
                <w:sz w:val="21"/>
                <w:szCs w:val="21"/>
                <w:color w:val="auto"/>
              </w:rPr>
            </w:pPr>
          </w:p>
        </w:tc>
        <w:tc>
          <w:tcPr>
            <w:tcW w:w="20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21.6%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16.5 %</w:t>
            </w:r>
          </w:p>
        </w:tc>
      </w:tr>
      <w:tr>
        <w:trPr>
          <w:trHeight w:val="27"/>
        </w:trPr>
        <w:tc>
          <w:tcPr>
            <w:tcW w:w="3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Mountain net revenue</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1,611,786</w:t>
            </w:r>
          </w:p>
        </w:tc>
        <w:tc>
          <w:tcPr>
            <w:tcW w:w="4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1,304,604</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1,104,029</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23.5%</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r>
      <w:tr>
        <w:trPr>
          <w:trHeight w:val="169"/>
        </w:trPr>
        <w:tc>
          <w:tcPr>
            <w:tcW w:w="34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Mountain operating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3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Labor and labor-related benefits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403,020</w:t>
            </w:r>
          </w:p>
        </w:tc>
        <w:tc>
          <w:tcPr>
            <w:tcW w:w="44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338,250</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291,582</w:t>
            </w:r>
          </w:p>
        </w:tc>
        <w:tc>
          <w:tcPr>
            <w:tcW w:w="100" w:type="dxa"/>
            <w:vAlign w:val="bottom"/>
          </w:tcPr>
          <w:p>
            <w:pPr>
              <w:spacing w:after="0"/>
              <w:rPr>
                <w:sz w:val="21"/>
                <w:szCs w:val="21"/>
                <w:color w:val="auto"/>
              </w:rPr>
            </w:pPr>
          </w:p>
        </w:tc>
        <w:tc>
          <w:tcPr>
            <w:tcW w:w="20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19.1%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Retail cost of sales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112,902</w:t>
            </w: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93,946</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87,817</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20.2%</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43"/>
        </w:trPr>
        <w:tc>
          <w:tcPr>
            <w:tcW w:w="3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Resort related fees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83,503</w:t>
            </w:r>
          </w:p>
        </w:tc>
        <w:tc>
          <w:tcPr>
            <w:tcW w:w="44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68,890</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59,685</w:t>
            </w:r>
          </w:p>
        </w:tc>
        <w:tc>
          <w:tcPr>
            <w:tcW w:w="100" w:type="dxa"/>
            <w:vAlign w:val="bottom"/>
          </w:tcPr>
          <w:p>
            <w:pPr>
              <w:spacing w:after="0"/>
              <w:rPr>
                <w:sz w:val="21"/>
                <w:szCs w:val="21"/>
                <w:color w:val="auto"/>
              </w:rPr>
            </w:pPr>
          </w:p>
        </w:tc>
        <w:tc>
          <w:tcPr>
            <w:tcW w:w="20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21.2%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15.4 %</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199,582</w:t>
            </w: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173,640</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147,272</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14.9%</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r>
      <w:tr>
        <w:trPr>
          <w:trHeight w:val="243"/>
        </w:trPr>
        <w:tc>
          <w:tcPr>
            <w:tcW w:w="3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248,324</w:t>
            </w:r>
          </w:p>
        </w:tc>
        <w:tc>
          <w:tcPr>
            <w:tcW w:w="44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206,746</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190,791</w:t>
            </w:r>
          </w:p>
        </w:tc>
        <w:tc>
          <w:tcPr>
            <w:tcW w:w="100" w:type="dxa"/>
            <w:vAlign w:val="bottom"/>
          </w:tcPr>
          <w:p>
            <w:pPr>
              <w:spacing w:after="0"/>
              <w:rPr>
                <w:sz w:val="21"/>
                <w:szCs w:val="21"/>
                <w:color w:val="auto"/>
              </w:rPr>
            </w:pPr>
          </w:p>
        </w:tc>
        <w:tc>
          <w:tcPr>
            <w:tcW w:w="20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7"/>
        </w:trPr>
        <w:tc>
          <w:tcPr>
            <w:tcW w:w="3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Mountain operating expense</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1,047,331</w:t>
            </w:r>
          </w:p>
        </w:tc>
        <w:tc>
          <w:tcPr>
            <w:tcW w:w="4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881,472</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777,147</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18.8%</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r>
      <w:tr>
        <w:trPr>
          <w:trHeight w:val="237"/>
        </w:trPr>
        <w:tc>
          <w:tcPr>
            <w:tcW w:w="34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Gain on litigation settlement</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16,400</w:t>
            </w:r>
          </w:p>
        </w:tc>
        <w:tc>
          <w:tcPr>
            <w:tcW w:w="10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Mountain equity investment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1,883</w:t>
            </w:r>
          </w:p>
        </w:tc>
        <w:tc>
          <w:tcPr>
            <w:tcW w:w="4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1,283</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46.8%</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56.1 %</w:t>
            </w:r>
          </w:p>
        </w:tc>
      </w:tr>
      <w:tr>
        <w:trPr>
          <w:trHeight w:val="237"/>
        </w:trPr>
        <w:tc>
          <w:tcPr>
            <w:tcW w:w="34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Mountain Reported EBITDA</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566,338</w:t>
            </w:r>
          </w:p>
        </w:tc>
        <w:tc>
          <w:tcPr>
            <w:tcW w:w="4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424,415</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344,104</w:t>
            </w:r>
          </w:p>
        </w:tc>
        <w:tc>
          <w:tcPr>
            <w:tcW w:w="10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33.4%</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23.3 %</w:t>
            </w:r>
          </w:p>
        </w:tc>
      </w:tr>
      <w:tr>
        <w:trPr>
          <w:trHeight w:val="67"/>
        </w:trPr>
        <w:tc>
          <w:tcPr>
            <w:tcW w:w="34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skier visits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12,047</w:t>
            </w:r>
          </w:p>
        </w:tc>
        <w:tc>
          <w:tcPr>
            <w:tcW w:w="4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10,032</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8,466</w:t>
            </w:r>
          </w:p>
        </w:tc>
        <w:tc>
          <w:tcPr>
            <w:tcW w:w="10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20.1%</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r>
      <w:tr>
        <w:trPr>
          <w:trHeight w:val="243"/>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ETP</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67.93</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65.59</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63.37</w:t>
            </w:r>
          </w:p>
        </w:tc>
        <w:tc>
          <w:tcPr>
            <w:tcW w:w="100" w:type="dxa"/>
            <w:vAlign w:val="bottom"/>
          </w:tcPr>
          <w:p>
            <w:pPr>
              <w:spacing w:after="0"/>
              <w:rPr>
                <w:sz w:val="21"/>
                <w:szCs w:val="21"/>
                <w:color w:val="auto"/>
              </w:rPr>
            </w:pPr>
          </w:p>
        </w:tc>
        <w:tc>
          <w:tcPr>
            <w:tcW w:w="20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Mountain segment operating expenses presented above for Fiscal 2016 and Fiscal 2015 have been reclassified to conform to the presentation for Fiscal 2017.</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Mountain Reported EBITDA includes $15.0 million, $13.4 million and $11.8 million of stock-based compensation expense for Fiscal 2017, Fiscal 2016 and Fiscal 2015,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2017 compared to Fiscal 2016</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results reflect an increase in Mountain Reported EBITDA of $141.9 million, or 33.4%, due primarily to the operations of Whistler Blackcomb, which is included in our consolidated results prospectively from the acquisition date (acquired in October 2016), partially offset by $10.8 million of acquisition and integration related expenses. Additionally, Stowe was acquired in June 2017 and their off-season operations are included in our consolidated results prospectively from the acquisition date. Excluding acquisition and integration related expenses and the operations of Whistler Blackcomb and Stowe, Mountain Reported EBITDA increased 9.1%. Our results reflect strong U.S. season pass sales growth for the 2016/2017 North American ski season. However, our Fiscal 2017 results were tempered by poor early ski season conditions prior to the holiday period at our U.S. resorts which drove lower skier visitation during the early ski season.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Lift revenue increased $160.3 million, or 24.4%, primarily due to incremental lift revenue from Whistler Blackcomb. Excluding Whistler Blackcomb, total lift revenue increased 6.4% of which non-pass revenue decreased 1.5% and pass revenue increased 18.3%. The decrease in non-pass revenue, excluding Whistler Blackcomb, was primarily the result of a decrease in non-pass skier visitation to our U.S. resorts, primarily due to continued shifting of Destination guests to season passes and poor early season conditions in Colorado, partially offset by an increase in ETP excluding season pass holders of 6.5%. The increase in pass revenue, excluding Whistler Blackcomb, was due to a combination of both an increase in pricing and units sold and was favorably impacted by increased pass sales to Destination guests. The change in total ETP was negatively impacted by the inclusion of Whistler Blackcomb’s ETP in our Fiscal 2017 results, which was lower on a U.S. dollar basis than the Company average. Total ETP, excluding Whistler Blackcomb, increased $7.49, or 11.4%, due primarily to price increases in both our lift ticket products at our</w:t>
      </w:r>
    </w:p>
    <w:p>
      <w:pPr>
        <w:sectPr>
          <w:pgSz w:w="11900" w:h="16838" w:orient="portrait"/>
          <w:cols w:equalWidth="0" w:num="1">
            <w:col w:w="11420"/>
          </w:cols>
          <w:pgMar w:left="240" w:top="1009" w:right="239"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009" w:right="239" w:bottom="1440" w:gutter="0" w:footer="0" w:header="0"/>
          <w:type w:val="continuous"/>
        </w:sectPr>
      </w:pPr>
    </w:p>
    <w:bookmarkStart w:id="44" w:name="page45"/>
    <w:bookmarkEnd w:id="4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U.S. mountain resorts and season pass products, and lower average visitation by U.S. season pass holders during the 2016/2017 U.S. ski season as compared with the 2015/2016 U.S. ski season.</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Ski school revenue increased $34.5 million, or 24.1%, primarily due to incremental ski school revenue from Whistler Blackcomb. Excluding Whistler Blackcomb, ski school revenue increased 2.7%, primarily due to increases in pricing. Dining revenue increased $29.6 million, or 24.4%, due to incremental revenue from Whistler Blackcomb. Excluding Whistler Blackcomb, dining revenue increased 0.6%.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Retail/rental revenue increased $52.3 million, or 21.7%, primarily due to incremental retail/rental revenue from Whistler Blackcomb. Excluding Whistler Blackcomb, retail revenue increased 2.1% and rental revenue increased 0.8%. The increase in retail revenue was primarily attributable to strong sales at pre-ski season sales events at our stores in Colorado and higher sales volumes at stores proximate to our Tahoe and Park City resorts.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revenue mainly consists of summer visitation and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also is comprised of Perisher lodging and transportation revenue. For Fiscal 2017, other revenue increased $30.5 million, or 21.6%, primarily attributable to incremental revenue from Whistler Blackcomb. Excluding Whistler Blackcomb and Stowe, other revenue increased 2.2% primarily due to an increase in summer activities revenue from our U.S. mountain resorts, including the expansion of our on-mountain Epic Discovery summer activities offerings.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 for Fiscal 2017 increased $165.9 million, or 18.8%, which was primarily attributable to incremental operating expenses from Whistler Blackcomb, as well as $10.8 million of acquisition and integration related expenses. Excluding incremental operating expenses of Whistler Blackcomb and Stowe and acquisition and integration related activities, operating expense increased 1.7%.</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discussion provides information about the changes in operating expenses for Fiscal 2017, excluding acquisition and integration related expenses and the operations of Whistler Blackcomb and Stowe. Labor and labor-related benefits increased 2.8% primarily due to normal wage adjustments and increased staffing levels at our U.S. resorts to support the expansion of our on-mountain Epic Discovery summer activities offerings, partially offset by lower performance-based variable compensation. Retail cost of sales increased 1.3%, compared to an increase in retail sales of 2.0%. Resort related fees increased 3.5% due to overall increases in revenue upon which those fees are based. General and administrative expense increased 1.3% due to increased corporate overhead costs. Other expense decreased 0.2% primarily due to decreased professional services expense and repairs and maintenance expense, partially offset by increased rent expense and utilities expense.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 equity investment income, net primarily includes our share of income from the operations of a real estate brokerage joint venture.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2016 compared to Fiscal 2015</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Fiscal 2016 results reflect an increase in Mountain Reported EBITDA of $80.3 million, or 23.3%. This increase was primarily due to strong U.S. pass sales growth for the 2015/2016 U.S. ski season; a strong rebound at our Tahoe resorts; continued growth at our Colorado resorts and Park City; strong ancillary guest spending for ski school, dining and retail/rental operations; as well as the addition of a full year of Perisher results (acquired in June 2015). Our Tahoe resorts saw a significant increase in skier visitation during the 2015/2016 U.S. ski season, primarily as a result of improved weather conditions and snowfall in the Tahoe region compared to Fiscal 2015. Our Colorado resorts and Park City realized strong increases in skier visitation during Fiscal 2016 compared to Fiscal 2015. We believe the increase at Park City is due in part to the significant capital improvements we made at the resort, including connecting Park City Mountain Resort and Canyons into the largest resort in the U.S., and our marketing efforts surrounding the investments and connection. Mountain Reported EBITDA for Fiscal 2016 was also positively impacted by the addition of Perisher (acquired in June 2015), which has its operating season from June through early October; increased summer activities revenue; and the lack of acquisition and integration related expenses and litigation expenses incurred during Fiscal 2015 related to Park City and Perisher. These favorable impacts were partially offset by a modest decline in international visitation to our U.S. mountain resorts during the 2015/2016 U.S. ski season and the $16.4 million non-cash gain on the Park City litigation settlement recognized during Fiscal 2015. The non-cash gain on the Park City litigation (which was recorded separately from our acquisition of Park City Mountain Resort) represents the estimated fair value of the settlement, which we obtained the right to in the acquisition of Canyons resort in fiscal 2013 (the “Canyons transaction”), from the Canyons transaction date of May 29, 2013 to the Park City Mountain Resort acquisition date.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012" w:right="239" w:bottom="1440" w:gutter="0" w:footer="0" w:header="0"/>
        </w:sectPr>
      </w:pPr>
    </w:p>
    <w:bookmarkStart w:id="45" w:name="page46"/>
    <w:bookmarkEnd w:id="45"/>
    <w:p>
      <w:pPr>
        <w:jc w:val="both"/>
        <w:spacing w:after="0" w:line="256" w:lineRule="auto"/>
        <w:rPr>
          <w:sz w:val="20"/>
          <w:szCs w:val="20"/>
          <w:color w:val="auto"/>
        </w:rPr>
      </w:pPr>
      <w:r>
        <w:rPr>
          <w:rFonts w:ascii="Times New Roman" w:cs="Times New Roman" w:eastAsia="Times New Roman" w:hAnsi="Times New Roman"/>
          <w:sz w:val="18"/>
          <w:szCs w:val="18"/>
          <w:color w:val="auto"/>
        </w:rPr>
        <w:t>Lift revenue increased $121.6 million, or 22.7%, which includes $24.0 million of incremental lift revenue from Perisher. U.S. non-pass revenue increased $58.7 million, or 18.9%, and U.S. pass revenue increased $38.9 million, or 18.1%. The increase in U.S. non-pass revenue was primarily the result of an increase in the ETP excluding season pass holders of 9.8%, along with higher visitation at our Tahoe resorts and Park City. The increase in U.S. pass revenue was due to a combination of both an increase in units sold and pricing, and was favorably impacted by increased pass sales to Destination guests. Total ETP increased $2.22, or 3.5%, due primarily to price increases in both our lift ticket products and season pass products, partially offset by higher average visitation by season pass holders during the 2015/2016 ski season as compared with the 2014/2015 ski season.</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Ski school revenue increased $17.0 million, or 13.5%, primarily as a result of increases in ski school revenue at our Colorado, Tahoe and Park City resorts, which were attributable to overall increases in skier visitation and pricing, as well as incremental ski school revenue from Perisher.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Dining revenue increased $20.0 million, or 19.8%, which was primarily attributable to overall increases in skier and summer visitation at our U.S. mountain resorts combined with incremental Perisher dining revenue. Additionally, dining revenue benefited from the earlier opening of terrain and on-mountain dining facilities at our Tahoe resorts, and from both the opening of a new on-mountain dining venue and upgrades of existing on-mountain dining venues at Park City.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Retail/rental revenue increased $22.0 million, or 10.0%, due to an increase in retail sales of $13.0 million, or 8.2%, and an increase in rental revenue of $9.0 million, or 15.3%. The increase in retail revenue was primarily attributable to an increase in sales volume at stores proximate to our Tahoe resorts and in the San Francisco Bay Area due to improved weather conditions and snowfall in the Tahoe region and incremental retail revenue from Perisher. The increase in rental revenue was primarily due to stores proximate to our mountain resorts in Tahoe and Colorado which experienced higher volumes due to increased overall skier visitation and incremental rental revenue from Perisher.</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revenue mainly consists of summer visitation and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also is comprised of Perisher lodging and transportation revenue. For Fiscal 2016, other revenue increased $20.0 million, or 16.5%, primarily attributable to incremental revenue from Perisher; increases in summer activities revenue from improved summer visitation at both our Colorado and Tahoe mountain resorts, including the expansion of our on-mountain Epic Discovery summer activities offerings; increases in marketing revenue due to higher revenue from our strategic partner; and higher base area services and parking revenue due to increased visitation.</w:t>
      </w:r>
    </w:p>
    <w:p>
      <w:pPr>
        <w:spacing w:after="0" w:line="200" w:lineRule="exact"/>
        <w:rPr>
          <w:sz w:val="20"/>
          <w:szCs w:val="20"/>
          <w:color w:val="auto"/>
        </w:rPr>
      </w:pP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 for Fiscal 2016 increased $104.3 million, or 13.4%, which includes incremental operating expenses from Perisher of $34.0 million. Additionally, Fiscal 2016 operating expenses were favorably impacted by the lack of acquisition and integration related expenses and litigation expenses of $11.2 million incurred in Fiscal 2015 related to Park City and Perisher. Excluding Perisher incremental operating expenses and acquisition and integration related expenses and litigation expenses related to Park City and Perisher, operating expenses increased $81.5 million, or 10.7%.</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discussion provides information about the changes in operating expenses for Fiscal 2016, excluding the operations of Perisher, and Park City and Perisher acquisition and integration related expenses and litigation expenses from Fiscal 2015. Labor and labor-related benefits increased $33.1 million, or 11.5%, due to wage adjustments; increased staffing levels to support higher volumes primarily in ski school, mountain operations and on-mountain dining; and increased performance-based variable compensation. Retail cost of sales increased $5.6 million, or 6.4%, compared to an increase in retail revenue of $11.9 million, or 7.5%. Resort related fees increased $9.2 million, or 15.6%, due to overall increases in revenue upon which those fees are based. General and administrative expense increased $22.1 million, or 15.1%, primarily due to higher Mountain segment component of corporate overhead costs, including increased sales and marketing expense and performance-based variable compensation. Other expense increased $11.5 million, or 6.4%, primarily due to increases in repairs and maintenance, supplies, food and beverage cost of sales commensurate with increases in dining revenue, and rent expense, partially offset by lower fuel expense.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 equity investment income, net primarily includes our share of income from the operations of a real estate brokerage joint venture.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013"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Lodging Segment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Lodging segment operating results for Fiscal 2017, Fiscal 2016 and Fiscal 2015 are presented by category as follows (in thousands, except ADR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RevPAR):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200" w:type="dxa"/>
            <w:vAlign w:val="bottom"/>
          </w:tcPr>
          <w:p>
            <w:pPr>
              <w:spacing w:after="0"/>
              <w:rPr>
                <w:sz w:val="20"/>
                <w:szCs w:val="20"/>
                <w:color w:val="auto"/>
              </w:rPr>
            </w:pPr>
          </w:p>
        </w:tc>
      </w:tr>
      <w:tr>
        <w:trPr>
          <w:trHeight w:val="270"/>
        </w:trPr>
        <w:tc>
          <w:tcPr>
            <w:tcW w:w="3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July 31,</w:t>
            </w: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30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7"/>
        </w:trPr>
        <w:tc>
          <w:tcPr>
            <w:tcW w:w="3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3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460" w:type="dxa"/>
            <w:vAlign w:val="bottom"/>
          </w:tcPr>
          <w:p>
            <w:pPr>
              <w:spacing w:after="0"/>
              <w:rPr>
                <w:sz w:val="20"/>
                <w:szCs w:val="20"/>
                <w:color w:val="auto"/>
              </w:rPr>
            </w:pPr>
          </w:p>
        </w:tc>
        <w:tc>
          <w:tcPr>
            <w:tcW w:w="12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6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10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2017/2016</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8"/>
              </w:rPr>
              <w:t>2016/2015</w:t>
            </w:r>
          </w:p>
        </w:tc>
      </w:tr>
      <w:tr>
        <w:trPr>
          <w:trHeight w:val="27"/>
        </w:trPr>
        <w:tc>
          <w:tcPr>
            <w:tcW w:w="3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Lodging net revenue: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3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Owned hotel rooms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63,939</w:t>
            </w:r>
          </w:p>
        </w:tc>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63,520</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57,916</w:t>
            </w:r>
          </w:p>
        </w:tc>
        <w:tc>
          <w:tcPr>
            <w:tcW w:w="100" w:type="dxa"/>
            <w:vAlign w:val="bottom"/>
          </w:tcPr>
          <w:p>
            <w:pPr>
              <w:spacing w:after="0"/>
              <w:rPr>
                <w:sz w:val="21"/>
                <w:szCs w:val="21"/>
                <w:color w:val="auto"/>
              </w:rPr>
            </w:pPr>
          </w:p>
        </w:tc>
        <w:tc>
          <w:tcPr>
            <w:tcW w:w="21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0.7 %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7"/>
        </w:trPr>
        <w:tc>
          <w:tcPr>
            <w:tcW w:w="3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Managed condominium rooms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65,694</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61,934</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58,936</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6.1 %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43"/>
        </w:trPr>
        <w:tc>
          <w:tcPr>
            <w:tcW w:w="3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Dining</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48,449</w:t>
            </w:r>
          </w:p>
        </w:tc>
        <w:tc>
          <w:tcPr>
            <w:tcW w:w="4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49,225</w:t>
            </w:r>
          </w:p>
        </w:tc>
        <w:tc>
          <w:tcPr>
            <w:tcW w:w="3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46,209</w:t>
            </w:r>
          </w:p>
        </w:tc>
        <w:tc>
          <w:tcPr>
            <w:tcW w:w="100" w:type="dxa"/>
            <w:vAlign w:val="bottom"/>
          </w:tcPr>
          <w:p>
            <w:pPr>
              <w:spacing w:after="0"/>
              <w:rPr>
                <w:sz w:val="21"/>
                <w:szCs w:val="21"/>
                <w:color w:val="auto"/>
              </w:rPr>
            </w:pPr>
          </w:p>
        </w:tc>
        <w:tc>
          <w:tcPr>
            <w:tcW w:w="21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7"/>
        </w:trPr>
        <w:tc>
          <w:tcPr>
            <w:tcW w:w="3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Transportation</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22,173</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22,205</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23,079</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(0.1)%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43"/>
        </w:trPr>
        <w:tc>
          <w:tcPr>
            <w:tcW w:w="3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Golf</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17,837</w:t>
            </w:r>
          </w:p>
        </w:tc>
        <w:tc>
          <w:tcPr>
            <w:tcW w:w="4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17,519</w:t>
            </w:r>
          </w:p>
        </w:tc>
        <w:tc>
          <w:tcPr>
            <w:tcW w:w="3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16,340</w:t>
            </w:r>
          </w:p>
        </w:tc>
        <w:tc>
          <w:tcPr>
            <w:tcW w:w="100" w:type="dxa"/>
            <w:vAlign w:val="bottom"/>
          </w:tcPr>
          <w:p>
            <w:pPr>
              <w:spacing w:after="0"/>
              <w:rPr>
                <w:sz w:val="21"/>
                <w:szCs w:val="21"/>
                <w:color w:val="auto"/>
              </w:rPr>
            </w:pPr>
          </w:p>
        </w:tc>
        <w:tc>
          <w:tcPr>
            <w:tcW w:w="21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1.8 %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7"/>
        </w:trPr>
        <w:tc>
          <w:tcPr>
            <w:tcW w:w="3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3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46,238</w:t>
            </w:r>
          </w:p>
        </w:tc>
        <w:tc>
          <w:tcPr>
            <w:tcW w:w="4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47,833</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41,760</w:t>
            </w:r>
          </w:p>
        </w:tc>
        <w:tc>
          <w:tcPr>
            <w:tcW w:w="10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14.5 %</w:t>
            </w:r>
          </w:p>
        </w:tc>
      </w:tr>
      <w:tr>
        <w:trPr>
          <w:trHeight w:val="237"/>
        </w:trPr>
        <w:tc>
          <w:tcPr>
            <w:tcW w:w="34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264,330</w:t>
            </w:r>
          </w:p>
        </w:tc>
        <w:tc>
          <w:tcPr>
            <w:tcW w:w="4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262,236</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244,240</w:t>
            </w:r>
          </w:p>
        </w:tc>
        <w:tc>
          <w:tcPr>
            <w:tcW w:w="10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0.8 %</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7"/>
        </w:trPr>
        <w:tc>
          <w:tcPr>
            <w:tcW w:w="3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3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Payroll cost reimbursements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14,184</w:t>
            </w:r>
          </w:p>
        </w:tc>
        <w:tc>
          <w:tcPr>
            <w:tcW w:w="4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12,318</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10,313</w:t>
            </w:r>
          </w:p>
        </w:tc>
        <w:tc>
          <w:tcPr>
            <w:tcW w:w="10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15.1 %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r>
      <w:tr>
        <w:trPr>
          <w:trHeight w:val="237"/>
        </w:trPr>
        <w:tc>
          <w:tcPr>
            <w:tcW w:w="34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Lodging net revenue</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278,514</w:t>
            </w:r>
          </w:p>
        </w:tc>
        <w:tc>
          <w:tcPr>
            <w:tcW w:w="4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274,554</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254,553</w:t>
            </w:r>
          </w:p>
        </w:tc>
        <w:tc>
          <w:tcPr>
            <w:tcW w:w="10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1.4 %</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7"/>
        </w:trPr>
        <w:tc>
          <w:tcPr>
            <w:tcW w:w="3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Lodging operating expense: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3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Labor and labor-related benefits</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117,183</w:t>
            </w:r>
          </w:p>
        </w:tc>
        <w:tc>
          <w:tcPr>
            <w:tcW w:w="4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114,404</w:t>
            </w:r>
          </w:p>
        </w:tc>
        <w:tc>
          <w:tcPr>
            <w:tcW w:w="3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110,168</w:t>
            </w:r>
          </w:p>
        </w:tc>
        <w:tc>
          <w:tcPr>
            <w:tcW w:w="100" w:type="dxa"/>
            <w:vAlign w:val="bottom"/>
          </w:tcPr>
          <w:p>
            <w:pPr>
              <w:spacing w:after="0"/>
              <w:rPr>
                <w:sz w:val="21"/>
                <w:szCs w:val="21"/>
                <w:color w:val="auto"/>
              </w:rPr>
            </w:pPr>
          </w:p>
        </w:tc>
        <w:tc>
          <w:tcPr>
            <w:tcW w:w="21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2.4 %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7"/>
        </w:trPr>
        <w:tc>
          <w:tcPr>
            <w:tcW w:w="3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37,217</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35,351</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32,481</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5.3 %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43"/>
        </w:trPr>
        <w:tc>
          <w:tcPr>
            <w:tcW w:w="3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82,843</w:t>
            </w:r>
          </w:p>
        </w:tc>
        <w:tc>
          <w:tcPr>
            <w:tcW w:w="4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84,312</w:t>
            </w:r>
          </w:p>
        </w:tc>
        <w:tc>
          <w:tcPr>
            <w:tcW w:w="3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79,915</w:t>
            </w:r>
          </w:p>
        </w:tc>
        <w:tc>
          <w:tcPr>
            <w:tcW w:w="100" w:type="dxa"/>
            <w:vAlign w:val="bottom"/>
          </w:tcPr>
          <w:p>
            <w:pPr>
              <w:spacing w:after="0"/>
              <w:rPr>
                <w:sz w:val="21"/>
                <w:szCs w:val="21"/>
                <w:color w:val="auto"/>
              </w:rPr>
            </w:pPr>
          </w:p>
        </w:tc>
        <w:tc>
          <w:tcPr>
            <w:tcW w:w="21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7"/>
        </w:trPr>
        <w:tc>
          <w:tcPr>
            <w:tcW w:w="3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4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237,243</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234,067</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222,564</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1.4 %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43"/>
        </w:trPr>
        <w:tc>
          <w:tcPr>
            <w:tcW w:w="3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Reimbursed payroll costs</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14,184</w:t>
            </w:r>
          </w:p>
        </w:tc>
        <w:tc>
          <w:tcPr>
            <w:tcW w:w="4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12,318</w:t>
            </w:r>
          </w:p>
        </w:tc>
        <w:tc>
          <w:tcPr>
            <w:tcW w:w="3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10,313</w:t>
            </w:r>
          </w:p>
        </w:tc>
        <w:tc>
          <w:tcPr>
            <w:tcW w:w="100" w:type="dxa"/>
            <w:vAlign w:val="bottom"/>
          </w:tcPr>
          <w:p>
            <w:pPr>
              <w:spacing w:after="0"/>
              <w:rPr>
                <w:sz w:val="21"/>
                <w:szCs w:val="21"/>
                <w:color w:val="auto"/>
              </w:rPr>
            </w:pPr>
          </w:p>
        </w:tc>
        <w:tc>
          <w:tcPr>
            <w:tcW w:w="21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15.1 %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19.4 %</w:t>
            </w:r>
          </w:p>
        </w:tc>
      </w:tr>
      <w:tr>
        <w:trPr>
          <w:trHeight w:val="27"/>
        </w:trPr>
        <w:tc>
          <w:tcPr>
            <w:tcW w:w="3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3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Lodging operating expense</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251,427</w:t>
            </w:r>
          </w:p>
        </w:tc>
        <w:tc>
          <w:tcPr>
            <w:tcW w:w="4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246,385</w:t>
            </w: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232,877</w:t>
            </w:r>
          </w:p>
        </w:tc>
        <w:tc>
          <w:tcPr>
            <w:tcW w:w="10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2.0 %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37"/>
        </w:trPr>
        <w:tc>
          <w:tcPr>
            <w:tcW w:w="34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Lodging Reported EBITDA</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27,087</w:t>
            </w:r>
          </w:p>
        </w:tc>
        <w:tc>
          <w:tcPr>
            <w:tcW w:w="4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28,169</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21,676</w:t>
            </w:r>
          </w:p>
        </w:tc>
        <w:tc>
          <w:tcPr>
            <w:tcW w:w="10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(3.8)%</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30.0 %</w:t>
            </w:r>
          </w:p>
        </w:tc>
      </w:tr>
      <w:tr>
        <w:trPr>
          <w:trHeight w:val="27"/>
        </w:trPr>
        <w:tc>
          <w:tcPr>
            <w:tcW w:w="3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16"/>
        </w:trPr>
        <w:tc>
          <w:tcPr>
            <w:tcW w:w="3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Owned hotel statistics: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3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ADR</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245.31</w:t>
            </w: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227.27</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216.76</w:t>
            </w:r>
          </w:p>
        </w:tc>
        <w:tc>
          <w:tcPr>
            <w:tcW w:w="100" w:type="dxa"/>
            <w:vAlign w:val="bottom"/>
          </w:tcPr>
          <w:p>
            <w:pPr>
              <w:spacing w:after="0"/>
              <w:rPr>
                <w:sz w:val="21"/>
                <w:szCs w:val="21"/>
                <w:color w:val="auto"/>
              </w:rPr>
            </w:pPr>
          </w:p>
        </w:tc>
        <w:tc>
          <w:tcPr>
            <w:tcW w:w="21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7.9%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7"/>
        </w:trPr>
        <w:tc>
          <w:tcPr>
            <w:tcW w:w="3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RevPar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168.14</w:t>
            </w:r>
          </w:p>
        </w:tc>
        <w:tc>
          <w:tcPr>
            <w:tcW w:w="4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153.13</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140.28</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9.8%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43"/>
        </w:trPr>
        <w:tc>
          <w:tcPr>
            <w:tcW w:w="3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Managed condominium statistics: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3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347.64</w:t>
            </w:r>
          </w:p>
        </w:tc>
        <w:tc>
          <w:tcPr>
            <w:tcW w:w="4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325.38</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316.32</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6.8%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3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RevPar</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113.08</w:t>
            </w: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109.68</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101.19</w:t>
            </w:r>
          </w:p>
        </w:tc>
        <w:tc>
          <w:tcPr>
            <w:tcW w:w="100" w:type="dxa"/>
            <w:vAlign w:val="bottom"/>
          </w:tcPr>
          <w:p>
            <w:pPr>
              <w:spacing w:after="0"/>
              <w:rPr>
                <w:sz w:val="21"/>
                <w:szCs w:val="21"/>
                <w:color w:val="auto"/>
              </w:rPr>
            </w:pPr>
          </w:p>
        </w:tc>
        <w:tc>
          <w:tcPr>
            <w:tcW w:w="21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7"/>
        </w:trPr>
        <w:tc>
          <w:tcPr>
            <w:tcW w:w="3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5"/>
        </w:trPr>
        <w:tc>
          <w:tcPr>
            <w:tcW w:w="3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Owned hotel and managed condominium</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41"/>
        </w:trPr>
        <w:tc>
          <w:tcPr>
            <w:tcW w:w="3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statistics (combined):</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3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ADR</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302.80</w:t>
            </w: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280.38</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270.84</w:t>
            </w:r>
          </w:p>
        </w:tc>
        <w:tc>
          <w:tcPr>
            <w:tcW w:w="100" w:type="dxa"/>
            <w:vAlign w:val="bottom"/>
          </w:tcPr>
          <w:p>
            <w:pPr>
              <w:spacing w:after="0"/>
              <w:rPr>
                <w:sz w:val="21"/>
                <w:szCs w:val="21"/>
                <w:color w:val="auto"/>
              </w:rPr>
            </w:pPr>
          </w:p>
        </w:tc>
        <w:tc>
          <w:tcPr>
            <w:tcW w:w="21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8.0%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3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3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RevPar</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127.95</w:t>
            </w:r>
          </w:p>
        </w:tc>
        <w:tc>
          <w:tcPr>
            <w:tcW w:w="4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122.61</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112.67</w:t>
            </w:r>
          </w:p>
        </w:tc>
        <w:tc>
          <w:tcPr>
            <w:tcW w:w="100" w:type="dxa"/>
            <w:vAlign w:val="bottom"/>
            <w:shd w:val="clear" w:color="auto" w:fill="CCEEFF"/>
          </w:tcPr>
          <w:p>
            <w:pPr>
              <w:spacing w:after="0"/>
              <w:rPr>
                <w:sz w:val="21"/>
                <w:szCs w:val="21"/>
                <w:color w:val="auto"/>
              </w:rPr>
            </w:pPr>
          </w:p>
        </w:tc>
        <w:tc>
          <w:tcPr>
            <w:tcW w:w="21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4.4%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7"/>
        </w:trPr>
        <w:tc>
          <w:tcPr>
            <w:tcW w:w="34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Lodging Reported EBITDA includes $3.2 million, $3.1 million and $2.6 million of stock-based compensation expense for Fiscal 2017, Fiscal 2016 and Fiscal 2015,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2017 compared to Fiscal 2016</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Lodging Reported EBITDA for Fiscal 2017 decreased $1.1 million, or 3.8%. Lodging Reported EBITDA for Fiscal 2017 includes the operations of Whistler Blackcomb prospectively since the date of acquisition and was impacted by a reduction of revenue and EBITDA from the sale of a hotel property in Keystone in November 2016, which we continue to manage under a property management agreement. Included in Lodging Reported EBITDA for Fiscal 2016 was the recognition of a $3.5 million termination fee (included in other revenue) associated with the termination of the management agreement at Half Moon in Montego Bay, Jamaica (“Half Moon Termination Fee”). Excluding Whistler Blackcomb operations from Fiscal 2017, operations from the hotel property in Keystone from both periods and the Half Moon Termination Fee from Fiscal 2016, Lodging Reported EBITDA increased 9.2%, which was primarily attributable to an increase in revenue at GTLC and increased ADR at our Colorado managed condominium rooms.</w:t>
      </w:r>
    </w:p>
    <w:p>
      <w:pPr>
        <w:sectPr>
          <w:pgSz w:w="11900" w:h="16838" w:orient="portrait"/>
          <w:cols w:equalWidth="0" w:num="1">
            <w:col w:w="11420"/>
          </w:cols>
          <w:pgMar w:left="240" w:top="1009"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009" w:right="239" w:bottom="1440" w:gutter="0" w:footer="0" w:header="0"/>
          <w:type w:val="continuous"/>
        </w:sectPr>
      </w:pPr>
    </w:p>
    <w:bookmarkStart w:id="47" w:name="page48"/>
    <w:bookmarkEnd w:id="47"/>
    <w:p>
      <w:pPr>
        <w:jc w:val="both"/>
        <w:spacing w:after="0" w:line="258" w:lineRule="auto"/>
        <w:rPr>
          <w:sz w:val="20"/>
          <w:szCs w:val="20"/>
          <w:color w:val="auto"/>
        </w:rPr>
      </w:pPr>
      <w:r>
        <w:rPr>
          <w:rFonts w:ascii="Times New Roman" w:cs="Times New Roman" w:eastAsia="Times New Roman" w:hAnsi="Times New Roman"/>
          <w:sz w:val="18"/>
          <w:szCs w:val="18"/>
          <w:color w:val="auto"/>
        </w:rPr>
        <w:t>Revenue from owned hotel rooms increased $0.4 million, or 0.7%, primarily due to an increase in revenue at GTLC and at our owned Colorado lodging properties during Fiscal 2017. These increases were partially offset by a decrease in revenue associated with the sale of a hotel property in Keystone, as discussed above, as well as lower revenue due to the early closure of our Flagg Ranch property as a result of a forest fire near Grand Teton National Park in September 2016. Revenue from managed condominium rooms increased $3.8 million, or 6.1%, primarily due to revenue from Whistler Blackcomb and increased ADR at our Colorado managed properties, offset by the temporary closure of a lodging property at Park City for renovations.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Dining revenue for Fiscal 2017 decreased $0.8 million, or 1.6%, primarily due to the temporary closure of a lodging property at Park City for renovations, partially offset by increased dining revenue at our Colorado lodging properties. Excluding the Half Moon Termination Fee from Fiscal 2016, other revenue increased $1.9 million, or 4.2%, for Fiscal 2017, primarily due to business interruption insurance recovery related to the early closure of our Flagg Ranch property in September 2016, as discussed above, as well as an increase in revenue from our central reservations booking service.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 (excluding reimbursed payroll costs) increased $3.2 million, or 1.4%. Labor and labor-related benefits increased $2.8 million, or 2.4%, primarily resulting from Whistler Blackcomb labor expense and normal wage increases. General and administrative expense increased $1.9 million, or 5.3% due to higher corporate overhead costs. Other expense decreased $1.5 million, or 1.7%, primarily due to decreased associated fees with respect to the temporary closure of a lodging property at Park City for renovations.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payroll cost reimbursements and the corresponding reimbursed payroll costs relates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2016 compared to Fiscal 2015</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Lodging Reported EBITDA for Fiscal 2016 increased $6.5 million, or 30.0%. Included in Lodging Reported EBITDA for Fiscal 2016 was the recognition of the $3.5 million Half Moon Termination Fee. Excluding the Half Moon Termination Fee, Lodging Reported EBITDA increased $3.0 million, or 13.9%, which was primarily due to increased visitation to our lodging properties and managed condominium rooms at or proximate to our U.S. mountain resorts. The increase in visitation was primarily due to increased skier visitation during the 2015/2016 U.S. ski season compared to the 2014/2015 U.S. ski season, as well as increased summer visitation at our U.S. mountain resorts compared to Fiscal 2015 (discussed in the Mountain section). Additionally, revenue at GTLC improved for Fiscal 2016 primarily as the result of increases in transient guest visitation, which drove higher guest spending on ancillary activities and services, and higher ADR.</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from owned hotel rooms increased $5.6 million, or 9.7%, and was positively impacted by increases in ADR and transient visitation at GTLC, which generated an increase of $3.2 million compared to the prior year. Additionally, revenue at our Colorado lodging properties increased $2.4 million compared to the prior year as a result of improved transient guest visitation and an increase in ADR. The increase in visitation to our Colorado lodging properties was primarily attributable to increased skier visitation and improved summer visitation at our Colorado mountain resorts compared to the same period in Fiscal 2015. Revenue from managed condominium rooms increased $3.0 million, or 5.1%, primarily as the result of increased ADR at our managed condominium rooms in Colorado and Tahoe, which contributed to an 8.4% increase in managed condominium RevPAR.</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Dining revenue for Fiscal 2016 increased $3.0 million, or 6.5%, primarily due to increased dining revenue generated at GTLC, Keystone and Breckenridge. Transportation revenue decreased $0.9 million, or 3.8%, for Fiscal 2016, primarily due to decreased passenger volume. Golf revenue increased $1.2 million, or 7.2%, primarily due to incremental revenue from reimbursable expenses for managing the Canyons golf course, which began operations in the summer of 2015, as well as increased revenue at our Colorado golf courses. Excluding the Half Moon Termination Fee, other revenue for Fiscal 2016 increased $2.6 million, or 6.2%, primarily due to an increase in ancillary revenue from improved visitation at GTLC, an increase in revenue from conference services provided to our group business at our Colorado lodging properties and an increase in revenue from our central reservations booking services, partially offset by a reduction in management fees due to the termination of the management agreement at Half Moon.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expense (excluding reimbursed payroll costs) increased $11.5 million, or 5.2%. Labor and labor-related benefits increased $4.2 million, or 3.8%, resulting from wage adjustments and higher staffing levels associated with increased overall occupancy. General and administrative expense increased $2.9 million, or 8.8%, due to higher corporate overhead costs, including increased performance-based variable compensation. Other expense increased $4.4 million, or 5.5%, primarily due to higher operating expenses (such as repairs and maintenance expense, supplies expense, food and beverage cost of sales, and credit card fees) and higher advertising expenses.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013" w:right="239" w:bottom="1440" w:gutter="0" w:footer="0" w:header="0"/>
        </w:sectPr>
      </w:pPr>
    </w:p>
    <w:bookmarkStart w:id="48" w:name="page49"/>
    <w:bookmarkEnd w:id="48"/>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payroll cost reimbursements and the corresponding reimbursed payroll costs relates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Segment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segment operating results for Fiscal 2017, Fiscal 2016 and Fiscal 2015 are presented by category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200" w:type="dxa"/>
            <w:vAlign w:val="bottom"/>
          </w:tcPr>
          <w:p>
            <w:pPr>
              <w:spacing w:after="0"/>
              <w:rPr>
                <w:sz w:val="20"/>
                <w:szCs w:val="20"/>
                <w:color w:val="auto"/>
              </w:rPr>
            </w:pPr>
          </w:p>
        </w:tc>
      </w:tr>
      <w:tr>
        <w:trPr>
          <w:trHeight w:val="270"/>
        </w:trPr>
        <w:tc>
          <w:tcPr>
            <w:tcW w:w="3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July 31,</w:t>
            </w: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30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7"/>
        </w:trPr>
        <w:tc>
          <w:tcPr>
            <w:tcW w:w="3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420" w:type="dxa"/>
            <w:vAlign w:val="bottom"/>
          </w:tcPr>
          <w:p>
            <w:pPr>
              <w:spacing w:after="0"/>
              <w:rPr>
                <w:sz w:val="20"/>
                <w:szCs w:val="20"/>
                <w:color w:val="auto"/>
              </w:rPr>
            </w:pPr>
          </w:p>
        </w:tc>
        <w:tc>
          <w:tcPr>
            <w:tcW w:w="12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10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2017/2016</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8"/>
              </w:rPr>
              <w:t>2016/2015</w:t>
            </w:r>
          </w:p>
        </w:tc>
      </w:tr>
      <w:tr>
        <w:trPr>
          <w:trHeight w:val="27"/>
        </w:trPr>
        <w:tc>
          <w:tcPr>
            <w:tcW w:w="3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Real Estate net 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16,918</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22,128</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41,342</w:t>
            </w:r>
          </w:p>
        </w:tc>
        <w:tc>
          <w:tcPr>
            <w:tcW w:w="10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(23.5)%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37"/>
        </w:trPr>
        <w:tc>
          <w:tcPr>
            <w:tcW w:w="34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Real Estate operating expense:</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3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5"/>
        </w:trPr>
        <w:tc>
          <w:tcPr>
            <w:tcW w:w="3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Cost of sales (including sales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41"/>
        </w:trPr>
        <w:tc>
          <w:tcPr>
            <w:tcW w:w="3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commissions)</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14,534</w:t>
            </w:r>
          </w:p>
        </w:tc>
        <w:tc>
          <w:tcPr>
            <w:tcW w:w="4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17,682</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34,765</w:t>
            </w:r>
          </w:p>
        </w:tc>
        <w:tc>
          <w:tcPr>
            <w:tcW w:w="10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(17.8)%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43"/>
        </w:trPr>
        <w:tc>
          <w:tcPr>
            <w:tcW w:w="3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9,549</w:t>
            </w:r>
          </w:p>
        </w:tc>
        <w:tc>
          <w:tcPr>
            <w:tcW w:w="42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6,957</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13,643</w:t>
            </w:r>
          </w:p>
        </w:tc>
        <w:tc>
          <w:tcPr>
            <w:tcW w:w="100" w:type="dxa"/>
            <w:vAlign w:val="bottom"/>
          </w:tcPr>
          <w:p>
            <w:pPr>
              <w:spacing w:after="0"/>
              <w:rPr>
                <w:sz w:val="21"/>
                <w:szCs w:val="21"/>
                <w:color w:val="auto"/>
              </w:rPr>
            </w:pPr>
          </w:p>
        </w:tc>
        <w:tc>
          <w:tcPr>
            <w:tcW w:w="21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37.3 %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7"/>
        </w:trPr>
        <w:tc>
          <w:tcPr>
            <w:tcW w:w="3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Real Estate operating expense</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24,083</w:t>
            </w:r>
          </w:p>
        </w:tc>
        <w:tc>
          <w:tcPr>
            <w:tcW w:w="4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24,639</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48,408</w:t>
            </w:r>
          </w:p>
        </w:tc>
        <w:tc>
          <w:tcPr>
            <w:tcW w:w="10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37"/>
        </w:trPr>
        <w:tc>
          <w:tcPr>
            <w:tcW w:w="346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Gain on sale of real property</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6,766</w:t>
            </w:r>
          </w:p>
        </w:tc>
        <w:tc>
          <w:tcPr>
            <w:tcW w:w="4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5,295</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27.8 %</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3,406.6 %</w:t>
            </w:r>
          </w:p>
        </w:tc>
      </w:tr>
      <w:tr>
        <w:trPr>
          <w:trHeight w:val="27"/>
        </w:trPr>
        <w:tc>
          <w:tcPr>
            <w:tcW w:w="3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2,784</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(6,915)</w:t>
            </w:r>
          </w:p>
        </w:tc>
        <w:tc>
          <w:tcPr>
            <w:tcW w:w="10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(114.3)%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140.3 %</w:t>
            </w:r>
          </w:p>
        </w:tc>
      </w:tr>
      <w:tr>
        <w:trPr>
          <w:trHeight w:val="20"/>
        </w:trPr>
        <w:tc>
          <w:tcPr>
            <w:tcW w:w="3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Real Estate Reported EBITDA includes $0.1 million, $0.5 million and $1.3 million of stock-based compensation expense for Fiscal 2017, Fiscal 2016 and Fiscal 2015,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Real Estate operating revenue is primarily determined by the timing of closings and the mix of real estate sold in any given period. Different types of projects have different revenue and profit margins; therefore, as the real estate inventory mix changes it can greatly impact Real Estate segment net revenue, operating expense and Real Estate Reported EBITDA.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2017</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Real Estate segment net revenue was primarily driven by the closing of four condominium units at The Ritz-Carlton Residences, Vail ($13.6 million of revenue with an average selling price of $3.4 million and an average price per square foot of $1,345) and two condominium units at One Ski Hill Place in Breckenridge ($2.3 million of revenue with an average sales price of $1.1 million and an average price per square foot of $983). The average price per square foot of both of these projects is driven by their premier locations and the comprehensive and exclusive amenities related to these projects.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expense included cost of sales of $13.4 million resulting from the closing of four condominium units at The Ritz-Carlton Residences, Vail (average cost per square foot of $1,131) and two condominium units at One Ski Hill Place (average cost per square foot of $838). Additionally, sales commissions of approximately $1.0 million were incurred commensurate with revenue recognized. Other operating expense of $9.5 million was primarily comprised of a $4.3 million one-time charge related to the resolution of a financial contingency to the Town of Vail for incremental parking capacity, as well as general and administrative costs, which includes marketing expense for the real estate available for sale, carrying costs for units available for sale and overhead costs, such as labor and labor-related benefits and allocated corporate costs.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recorded a gain on sale of real property of $6.5 million for a land parcel in Breckenridge which sold for $9.3 million during Fiscal 2017.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2016</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Real Estate segment net revenue was driven primarily by the closing of five condominium units at The Ritz-Carlton Residences, Vail ($15.6 million of revenue with an average selling price per unit of $3.1 million and an average price per square foot of $1,421); two condominium units at One Ski Hill Place in Breckenridge ($2.5 million of revenue with an average selling price per unit of $1.2 million and an average price per square foot of $1,129); and the three remaining condominium units at Crystal Peak Lodge, in Breckenridge ($2.4 million of revenue with an average selling price of $0.8 million and an average price per square foot of $707). The average price per square foot for all three projects is primarily due to their premier locations and the comprehensive and exclusive amenities related to these projects.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013" w:right="239" w:bottom="1440" w:gutter="0" w:footer="0" w:header="0"/>
        </w:sectPr>
      </w:pPr>
    </w:p>
    <w:bookmarkStart w:id="49" w:name="page50"/>
    <w:bookmarkEnd w:id="49"/>
    <w:p>
      <w:pPr>
        <w:jc w:val="both"/>
        <w:spacing w:after="0" w:line="255" w:lineRule="auto"/>
        <w:rPr>
          <w:sz w:val="20"/>
          <w:szCs w:val="20"/>
          <w:color w:val="auto"/>
        </w:rPr>
      </w:pPr>
      <w:r>
        <w:rPr>
          <w:rFonts w:ascii="Times New Roman" w:cs="Times New Roman" w:eastAsia="Times New Roman" w:hAnsi="Times New Roman"/>
          <w:sz w:val="18"/>
          <w:szCs w:val="18"/>
          <w:color w:val="auto"/>
        </w:rPr>
        <w:t>Operating expense included cost of sales of $15.6 million primarily resulting from the closing of five condominium units at The Ritz-Carlton Residences, Vail (average cost per square foot of $1,075); two condominium units at One Ski Hill Place (average cost per square foot of $931); and three condominium units at Crystal Peak Lodge (average cost per square foot of $513). The cost per square foot for the One Ski Hill Place and The Ritz-Carlton Residences, Vail projects is reflective of the high-end features and amenities and high construction costs associated with mountain resort development. Additionally, sales commissions of approximately $1.4 million were incurred commensurate with revenue recognized. Other operating expense of $7.0 million was primarily comprised of general and administrative costs which includes marketing expense for the real estate available for sale (including those units that have not yet closed), carrying costs for units available for sale and overhead costs, such as labor and labor-related benefits and allocated corporate costs.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recorded a gain on sale of real property of $5.3 million (net of $2.1 million in related land basis and cost) for various land parcels which sold for $7.4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2015</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Real Estate segment net revenue was driven primarily by the closing of fourteen condominium units at One Ski Hill Place ($17.1 million of revenue with an average selling price per unit of $1.2 million and an average price per square foot of $1,145) and five condominium units at The Ritz-Carlton Residences, Vail ($13.7 million of revenue with an average selling price per unit of $2.7 million and an average price per square foot of $1,438). Real Estate net revenue also included $8.5 million of revenue from the sale of a development land parcel in Vail.</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expense included cost of sales of $32.1 million primarily resulting from the closing of fourteen condominium units at One Ski Hill Place (average cost per square foot of $927), five condominium units at The Ritz-Carlton Residences, Vail (average cost per square foot of $1,129) and the sale of a development land parcel in Vail. Additionally, sales commissions of approximately $2.1 million were incurred commensurate with revenue recognized. Other operating expense of $13.6 million was primarily comprised of general and administrative costs which includes marketing expense for the real estate available for sale (including those units that have not yet closed), carrying costs for units available for sale and overhead costs, such as labor and labor-related benefits and allocated corporate costs.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Items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segment operating results, the following material items contribute to our overall financial position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8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July 31,</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Percentage Increase/(Decrease)</w:t>
            </w:r>
          </w:p>
        </w:tc>
      </w:tr>
      <w:tr>
        <w:trPr>
          <w:trHeight w:val="27"/>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2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14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2017/2016</w:t>
            </w: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2016/2015</w:t>
            </w:r>
          </w:p>
        </w:tc>
      </w:tr>
      <w:tr>
        <w:trPr>
          <w:trHeight w:val="27"/>
        </w:trPr>
        <w:tc>
          <w:tcPr>
            <w:tcW w:w="5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(189,157)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(161,488)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(149,123)</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(17.1)%</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on disposal of fixed assets and other, net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20" w:type="dxa"/>
            <w:vAlign w:val="bottom"/>
          </w:tcPr>
          <w:p>
            <w:pPr>
              <w:spacing w:after="0"/>
              <w:rPr>
                <w:sz w:val="21"/>
                <w:szCs w:val="21"/>
                <w:color w:val="auto"/>
              </w:rPr>
            </w:pP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(16,300)</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(288.1)%</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215.1 %</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income and other, net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6,114</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723</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21"/>
                <w:szCs w:val="21"/>
                <w:color w:val="auto"/>
              </w:rPr>
            </w:pP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745.6 %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193.9 %</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(51,241)</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(27.7)%</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gain on intercompany loans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15,285</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nm</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(11,012)</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(116,731)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(93,165)</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(34,718)</w:t>
            </w:r>
          </w:p>
        </w:tc>
        <w:tc>
          <w:tcPr>
            <w:tcW w:w="120" w:type="dxa"/>
            <w:vAlign w:val="bottom"/>
          </w:tcPr>
          <w:p>
            <w:pPr>
              <w:spacing w:after="0"/>
              <w:rPr>
                <w:sz w:val="21"/>
                <w:szCs w:val="21"/>
                <w:color w:val="auto"/>
              </w:rPr>
            </w:pP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r>
    </w:tbl>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expense for both Fiscal 2017 and Fiscal 2016 increased over the applicable prior fiscal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an increase in the fixed asset base due to incremental capital expenditures, including the Park City transformation project, which was completed at the beginning of Fiscal 2016, and assets acquired in the Whistler Blackcomb (acquired October 2016) and Perisher (acquired June 2015) acquisitions.</w:t>
      </w:r>
    </w:p>
    <w:p>
      <w:pPr>
        <w:spacing w:after="0" w:line="18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Loss on disposal of fixed assets and other, net</w:t>
      </w:r>
      <w:r>
        <w:rPr>
          <w:rFonts w:ascii="Times New Roman" w:cs="Times New Roman" w:eastAsia="Times New Roman" w:hAnsi="Times New Roman"/>
          <w:sz w:val="18"/>
          <w:szCs w:val="18"/>
          <w:color w:val="auto"/>
        </w:rPr>
        <w:t>. Loss on disposal of fixed assets and other, net for Fiscal 2016 increased from Fiscal 2015 primarily due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asset disposals at Park City and Wilmot as a result of significant capital improvements at these resorts.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Change in fair value of contingent consideration</w:t>
      </w:r>
      <w:r>
        <w:rPr>
          <w:rFonts w:ascii="Times New Roman" w:cs="Times New Roman" w:eastAsia="Times New Roman" w:hAnsi="Times New Roman"/>
          <w:sz w:val="18"/>
          <w:szCs w:val="18"/>
          <w:color w:val="auto"/>
        </w:rPr>
        <w:t>. Losses of $16.3 million and $4.2 million were recorded during Fiscal 2017 and Fiscal 2016,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increases in the estimated fair value of the participating contingent payments under the lease for Park City. The fair value of contingent consideration is based on assumptions for EBITDA of Park City in future periods, as calculated under the lease on which participating payments are determined. The increase in the estimated fair value for both these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013" w:right="239" w:bottom="1440" w:gutter="0" w:footer="0" w:header="0"/>
        </w:sectPr>
      </w:pPr>
    </w:p>
    <w:bookmarkStart w:id="50" w:name="page51"/>
    <w:bookmarkEnd w:id="50"/>
    <w:p>
      <w:pPr>
        <w:jc w:val="both"/>
        <w:spacing w:after="0" w:line="266" w:lineRule="auto"/>
        <w:rPr>
          <w:sz w:val="20"/>
          <w:szCs w:val="20"/>
          <w:color w:val="auto"/>
        </w:rPr>
      </w:pPr>
      <w:r>
        <w:rPr>
          <w:rFonts w:ascii="Times New Roman" w:cs="Times New Roman" w:eastAsia="Times New Roman" w:hAnsi="Times New Roman"/>
          <w:sz w:val="18"/>
          <w:szCs w:val="18"/>
          <w:color w:val="auto"/>
        </w:rPr>
        <w:t>periods is primarily attributable to a change in assumptions for EBITDA of Park City in future periods. A gain of $3.6 million was recorded during Fiscal 2015 and was related to a decrease in the estimated fair value of the participating contingent payments. The estimated fair value of the contingent consideration was $27.4 million and $11.1 million as of July 31, 2017 and 2016, respectively.</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Investment income and other, net. </w:t>
      </w:r>
      <w:r>
        <w:rPr>
          <w:rFonts w:ascii="Times New Roman" w:cs="Times New Roman" w:eastAsia="Times New Roman" w:hAnsi="Times New Roman"/>
          <w:sz w:val="18"/>
          <w:szCs w:val="18"/>
          <w:color w:val="auto"/>
        </w:rPr>
        <w:t>Investment income and other, net increased for Fiscal 2017 compared to the Fiscal 2016, primarily due to a $3.4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gain recognized on short-term foreign currency forward contracts that were entered into in conjunction with funding the cash consideration required for the Whistler Blackcomb acquisition, a $0.9 million gain recorded for the sale of a lodging property and a $0.8 million non-cash gain recognized on an investment in Whistler Blackcomb shares that were held prior to the acquisition.</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for Fiscal 2017 increased from Fiscal 2016, primarily due to interest expense associated with incremental term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borrowings under the Vail Holdings Credit Agreement of $509.4 million which was used to fund the cash consideration portion of the Whistler Blackcomb acquisition, as well as the Whistler Credit Agreement, which was assumed as part of the Whistler Blackcomb acquisition, and had $113.2 million (C$141.0 million) outstanding as of July 31, 2017. Interest expense for Fiscal 2016 decreased as compared to Fiscal 2015 primarily due to the redemption of the remaining $215.0 million of our 6.50% Senior Subordinated Notes (“6.50% Notes”) outstanding and $41.2 million of our Industrial Development Bonds outstanding, both in May 2015.</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Foreign currency gain on intercompany loans. </w:t>
      </w:r>
      <w:r>
        <w:rPr>
          <w:rFonts w:ascii="Times New Roman" w:cs="Times New Roman" w:eastAsia="Times New Roman" w:hAnsi="Times New Roman"/>
          <w:sz w:val="18"/>
          <w:szCs w:val="18"/>
          <w:color w:val="auto"/>
        </w:rPr>
        <w:t>Foreign currency gain on intercompany loans for Fiscal 2017 of $15.3 million was associated with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intercompany loan from Vail Holdings, Inc. to Whistler Blackcomb in the amount of $210.0 million that was funded in connection with the acquisition of Whistler Blackcomb. This intercompany loan requires foreign currency remeasurement to Canadian dollars, the functional currency for Whistler Blackcomb. As a result, foreign currency fluctuations associated with the loan are recorded within our results of operations.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Loss on extinguishment of debt. </w:t>
      </w:r>
      <w:r>
        <w:rPr>
          <w:rFonts w:ascii="Times New Roman" w:cs="Times New Roman" w:eastAsia="Times New Roman" w:hAnsi="Times New Roman"/>
          <w:sz w:val="18"/>
          <w:szCs w:val="18"/>
          <w:color w:val="auto"/>
        </w:rPr>
        <w:t>In May 2015, we redeemed the remaining $215.0 million of our 6.50% Notes outstanding and the entire $41.2 million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Industrial Development Bonds outstanding. As a result, we recorded a loss on extinguishment of debt of $11.0 million in Fiscal 2015 in connection with the redemptions. The loss included early redemption premiums of 3.25% for the 6.50% Notes and 4.00% for the Industrial Development Bonds, or $8.6 million in total, and a $2.4 million write-off of associated unamortized debt issuance costs. There were no amounts outstanding for the 6.50% Notes or Industrial Development Bonds as of July 31, 2015.</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Our effective tax rate was 33.5%, 38.4% and 23.2% in Fiscal 2017, Fiscal 2016 and Fiscal 2015, respectively. Our tax provision and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rate are driven primarily by the amount of pre-tax income, which is adjusted for items that are deductible/non-deductible for tax purposes only (i.e. permanent items) and taxable income generated by state and foreign jurisdictions that varies from the consolidated pre-tax income and the amount of net income attributable to noncontrolling interests. The decrease in the effective tax rate during Fiscal 2017 compared to Fiscal 2016 is primarily associated with the Whistler Blackcomb acquisition, where the Canadian statutory tax rate is lower than the U.S. statutory tax rate. The increase in the effective tax rate for Fiscal 2016 compared to Fiscal 2015 is primarily attributable to the recording of $23.8 million of income tax benefits in Fiscal 2015 due to the reversal of income tax contingencies, including accrued interest and penalties, resulting from a settlement with the Internal Revenue Service (“IRS”) on the utilization of certain net operating losses (“NOLs”), as discussed below.</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2005, we amended previously filed tax returns (for the tax years from 1997 through 2002) in an effort to remove restrictions under Section 382 of the Internal Revenue Code on approximately $73.8 million of NOLs relating to fresh start accounting from our reorganization in 1992. As a result, we requested a refund related to the amended returns in the amount of $6.2 million and reduced our Federal tax liability in the amount of $19.6 million in subsequent tax returns. In 2006, the IRS completed its examination of our filing position in our amended returns and disallowed our request for refund and our position to remove the restriction on the NOLs. We appealed the examiner’s disallowance of the NOLs to the Office of Appeals. In December 2008, the Office of Appeals denied our appeal, as well as a request for mediation. We disagreed with the IRS interpretation disallowing the utilization of the NOLs and in August 2009, filed a complaint in the United States District Court for the District of Colorado seeking recovery of $6.2 million in over payments that were previously denied by the IRS, plus interest. On July 1, 2011, the District Court granted us summary judgment, concluding that the IRS’s decision disallowing the utilization of the NOLs was inappropriate. The District Court proceedings were stayed pending settlement discussions between the parties. We also filed two related tax proceedings in the United States Tax Court regarding calculation of NOL carryover deductions for tax years 2006, 2007 and 2008. The two proceedings involve substantially the same issues as the litigation in the District Court wherein we disagreed with the IRS as to the utilization of NOLs. The Tax Court proceedings were continued pending settlement discussions between the parties.</w:t>
      </w:r>
    </w:p>
    <w:p>
      <w:pPr>
        <w:spacing w:after="0" w:line="1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2015, the parties completed the execution of a comprehensive settlement agreement resolving all issues and computations in the above mentioned pending proceedings, which allowed us to utilize a significant portion of the NOLs. As a result, we reversed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013" w:right="239" w:bottom="1440" w:gutter="0" w:footer="0" w:header="0"/>
        </w:sectPr>
      </w:pPr>
    </w:p>
    <w:bookmarkStart w:id="51" w:name="page52"/>
    <w:bookmarkEnd w:id="51"/>
    <w:p>
      <w:pPr>
        <w:spacing w:after="0" w:line="282" w:lineRule="auto"/>
        <w:rPr>
          <w:sz w:val="20"/>
          <w:szCs w:val="20"/>
          <w:color w:val="auto"/>
        </w:rPr>
      </w:pPr>
      <w:r>
        <w:rPr>
          <w:rFonts w:ascii="Times New Roman" w:cs="Times New Roman" w:eastAsia="Times New Roman" w:hAnsi="Times New Roman"/>
          <w:sz w:val="18"/>
          <w:szCs w:val="18"/>
          <w:color w:val="auto"/>
        </w:rPr>
        <w:t>$27.7 million of other long-term liabilities related to uncertain tax benefits, and recorded income tax benefits of $23.8 million for the utilization of the NOLs, including the reversal of accrued interest and penalties, within our Consolidated Statements of Operations for Fiscal 2015.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Segment Earnings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from segment Reported EBITDA to net income attributable to Vail Resorts, Inc.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July 31,</w:t>
            </w:r>
          </w:p>
        </w:tc>
        <w:tc>
          <w:tcPr>
            <w:tcW w:w="4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460" w:type="dxa"/>
            <w:vAlign w:val="bottom"/>
          </w:tcPr>
          <w:p>
            <w:pPr>
              <w:spacing w:after="0"/>
              <w:rPr>
                <w:sz w:val="20"/>
                <w:szCs w:val="20"/>
                <w:color w:val="auto"/>
              </w:rPr>
            </w:pPr>
          </w:p>
        </w:tc>
        <w:tc>
          <w:tcPr>
            <w:tcW w:w="13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6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6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Mountain Reported EBITDA</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566,338</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424,415</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344,104</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Lodging Reported EBITDA</w:t>
            </w:r>
          </w:p>
        </w:tc>
        <w:tc>
          <w:tcPr>
            <w:tcW w:w="40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27,087</w:t>
            </w:r>
          </w:p>
        </w:tc>
        <w:tc>
          <w:tcPr>
            <w:tcW w:w="46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28,169</w:t>
            </w:r>
          </w:p>
        </w:tc>
        <w:tc>
          <w:tcPr>
            <w:tcW w:w="4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21,676</w:t>
            </w:r>
          </w:p>
        </w:tc>
      </w:tr>
      <w:tr>
        <w:trPr>
          <w:trHeight w:val="27"/>
        </w:trPr>
        <w:tc>
          <w:tcPr>
            <w:tcW w:w="6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Resort Reported EBITDA</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593,425</w:t>
            </w: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452,584</w:t>
            </w: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365,780</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4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(399)</w:t>
            </w:r>
          </w:p>
        </w:tc>
        <w:tc>
          <w:tcPr>
            <w:tcW w:w="46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2,784</w:t>
            </w:r>
          </w:p>
        </w:tc>
        <w:tc>
          <w:tcPr>
            <w:tcW w:w="4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(6,915)</w:t>
            </w:r>
          </w:p>
        </w:tc>
      </w:tr>
      <w:tr>
        <w:trPr>
          <w:trHeight w:val="27"/>
        </w:trPr>
        <w:tc>
          <w:tcPr>
            <w:tcW w:w="6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Reported EBITDA</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593,026</w:t>
            </w: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455,368</w:t>
            </w: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358,865</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(189,157)</w:t>
            </w:r>
          </w:p>
        </w:tc>
        <w:tc>
          <w:tcPr>
            <w:tcW w:w="4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(161,488)</w:t>
            </w:r>
          </w:p>
        </w:tc>
        <w:tc>
          <w:tcPr>
            <w:tcW w:w="4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(149,123)</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on disposal of fixed assets and other, net</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(6,430)</w:t>
            </w: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(5,418)</w:t>
            </w: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4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(16,300)</w:t>
            </w:r>
          </w:p>
        </w:tc>
        <w:tc>
          <w:tcPr>
            <w:tcW w:w="4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(4,200)</w:t>
            </w:r>
          </w:p>
        </w:tc>
        <w:tc>
          <w:tcPr>
            <w:tcW w:w="4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3,650</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income and other, net</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6,114</w:t>
            </w: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723</w:t>
            </w: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gain on intercompany loans</w:t>
            </w:r>
          </w:p>
        </w:tc>
        <w:tc>
          <w:tcPr>
            <w:tcW w:w="40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15,285</w:t>
            </w:r>
          </w:p>
        </w:tc>
        <w:tc>
          <w:tcPr>
            <w:tcW w:w="46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(54,089)</w:t>
            </w: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(42,366)</w:t>
            </w: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(51,241)</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0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(11,012)</w:t>
            </w:r>
          </w:p>
        </w:tc>
      </w:tr>
      <w:tr>
        <w:trPr>
          <w:trHeight w:val="27"/>
        </w:trPr>
        <w:tc>
          <w:tcPr>
            <w:tcW w:w="6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348,449</w:t>
            </w: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242,619</w:t>
            </w: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149,328</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(116,731)</w:t>
            </w:r>
          </w:p>
        </w:tc>
        <w:tc>
          <w:tcPr>
            <w:tcW w:w="4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(93,165)</w:t>
            </w:r>
          </w:p>
        </w:tc>
        <w:tc>
          <w:tcPr>
            <w:tcW w:w="4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(34,718)</w:t>
            </w:r>
          </w:p>
        </w:tc>
      </w:tr>
      <w:tr>
        <w:trPr>
          <w:trHeight w:val="27"/>
        </w:trPr>
        <w:tc>
          <w:tcPr>
            <w:tcW w:w="6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231,718</w:t>
            </w: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149,454</w:t>
            </w: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114,610</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4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(21,165)</w:t>
            </w:r>
          </w:p>
        </w:tc>
        <w:tc>
          <w:tcPr>
            <w:tcW w:w="46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w:t>
            </w:r>
          </w:p>
        </w:tc>
        <w:tc>
          <w:tcPr>
            <w:tcW w:w="4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r>
      <w:tr>
        <w:trPr>
          <w:trHeight w:val="27"/>
        </w:trPr>
        <w:tc>
          <w:tcPr>
            <w:tcW w:w="6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210,553</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149,754</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114,754</w:t>
            </w:r>
          </w:p>
        </w:tc>
      </w:tr>
      <w:tr>
        <w:trPr>
          <w:trHeight w:val="20"/>
        </w:trPr>
        <w:tc>
          <w:tcPr>
            <w:tcW w:w="6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reconciles Net Debt (defined as long-term debt, net plus long-term debt due within one year less cash and cash equivalents) to long-term debt, net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132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600" w:type="dxa"/>
            <w:vAlign w:val="bottom"/>
          </w:tcPr>
          <w:p>
            <w:pPr>
              <w:spacing w:after="0"/>
              <w:rPr>
                <w:sz w:val="20"/>
                <w:szCs w:val="20"/>
                <w:color w:val="auto"/>
              </w:rPr>
            </w:pPr>
          </w:p>
        </w:tc>
        <w:tc>
          <w:tcPr>
            <w:tcW w:w="132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41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net</w:t>
            </w:r>
          </w:p>
        </w:tc>
        <w:tc>
          <w:tcPr>
            <w:tcW w:w="39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1,234,024</w:t>
            </w:r>
          </w:p>
        </w:tc>
        <w:tc>
          <w:tcPr>
            <w:tcW w:w="6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686,909</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3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38,397</w:t>
            </w:r>
          </w:p>
        </w:tc>
        <w:tc>
          <w:tcPr>
            <w:tcW w:w="6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13,354</w:t>
            </w:r>
          </w:p>
        </w:tc>
      </w:tr>
      <w:tr>
        <w:trPr>
          <w:trHeight w:val="27"/>
        </w:trPr>
        <w:tc>
          <w:tcPr>
            <w:tcW w:w="41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debt</w:t>
            </w:r>
          </w:p>
        </w:tc>
        <w:tc>
          <w:tcPr>
            <w:tcW w:w="35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1,272,421</w:t>
            </w:r>
          </w:p>
        </w:tc>
        <w:tc>
          <w:tcPr>
            <w:tcW w:w="6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700,263</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3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117,389</w:t>
            </w:r>
          </w:p>
        </w:tc>
        <w:tc>
          <w:tcPr>
            <w:tcW w:w="6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67,897</w:t>
            </w:r>
          </w:p>
        </w:tc>
      </w:tr>
      <w:tr>
        <w:trPr>
          <w:trHeight w:val="27"/>
        </w:trPr>
        <w:tc>
          <w:tcPr>
            <w:tcW w:w="41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Debt</w:t>
            </w:r>
          </w:p>
        </w:tc>
        <w:tc>
          <w:tcPr>
            <w:tcW w:w="39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1,155,032</w:t>
            </w:r>
          </w:p>
        </w:tc>
        <w:tc>
          <w:tcPr>
            <w:tcW w:w="6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632,366</w:t>
            </w:r>
          </w:p>
        </w:tc>
      </w:tr>
      <w:tr>
        <w:trPr>
          <w:trHeight w:val="20"/>
        </w:trPr>
        <w:tc>
          <w:tcPr>
            <w:tcW w:w="4120" w:type="dxa"/>
            <w:vAlign w:val="bottom"/>
            <w:tcBorders>
              <w:top w:val="single" w:sz="8" w:color="auto"/>
              <w:bottom w:val="single" w:sz="8" w:color="auto"/>
            </w:tcBorders>
          </w:tcPr>
          <w:p>
            <w:pPr>
              <w:spacing w:after="0" w:line="20" w:lineRule="exact"/>
              <w:rPr>
                <w:sz w:val="1"/>
                <w:szCs w:val="1"/>
                <w:color w:val="auto"/>
              </w:rPr>
            </w:pPr>
          </w:p>
        </w:tc>
        <w:tc>
          <w:tcPr>
            <w:tcW w:w="3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120" w:type="dxa"/>
            <w:vAlign w:val="bottom"/>
          </w:tcPr>
          <w:p>
            <w:pPr>
              <w:spacing w:after="0"/>
              <w:rPr>
                <w:sz w:val="24"/>
                <w:szCs w:val="24"/>
                <w:color w:val="auto"/>
              </w:rPr>
            </w:pPr>
          </w:p>
        </w:tc>
        <w:tc>
          <w:tcPr>
            <w:tcW w:w="3540" w:type="dxa"/>
            <w:vAlign w:val="bottom"/>
          </w:tcPr>
          <w:p>
            <w:pPr>
              <w:jc w:val="right"/>
              <w:ind w:right="1770"/>
              <w:spacing w:after="0"/>
              <w:rPr>
                <w:sz w:val="20"/>
                <w:szCs w:val="20"/>
                <w:color w:val="auto"/>
              </w:rPr>
            </w:pPr>
            <w:r>
              <w:rPr>
                <w:rFonts w:ascii="Times New Roman" w:cs="Times New Roman" w:eastAsia="Times New Roman" w:hAnsi="Times New Roman"/>
                <w:sz w:val="18"/>
                <w:szCs w:val="18"/>
                <w:color w:val="auto"/>
              </w:rPr>
              <w:t>50</w:t>
            </w: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1012"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significant sources of cash for Fiscal 2017, Fiscal 2016 and Fiscal 2015 are presented by categories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July 31,</w:t>
            </w:r>
          </w:p>
        </w:tc>
        <w:tc>
          <w:tcPr>
            <w:tcW w:w="840" w:type="dxa"/>
            <w:vAlign w:val="bottom"/>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8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6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0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8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456,914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426,762</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303,660</w:t>
            </w:r>
          </w:p>
        </w:tc>
      </w:tr>
      <w:tr>
        <w:trPr>
          <w:trHeight w:val="243"/>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(682,836)</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(124,016)</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(427,068)</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8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271,892</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(271,217)</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115,251</w:t>
            </w:r>
          </w:p>
        </w:tc>
      </w:tr>
      <w:tr>
        <w:trPr>
          <w:trHeight w:val="27"/>
        </w:trPr>
        <w:tc>
          <w:tcPr>
            <w:tcW w:w="80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Sources of Cash</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Historically, we have lower cash available at our fiscal year-end (as well as at the end of our first fiscal quarter of each year) as compared to our second and third fiscal quarter-ends, primarily due to the seasonality of our Mountain segment operations. We had $117.4 million of cash and cash equivalents as of July 31, 2017, compared to $67.9 million as of July 31, 2016. We generated $456.9 million of cash from operating activities during Fiscal 2017 compared to $426.8 million and $303.7 million generated during Fiscal 2016 and Fiscal 2015, respectively. We currently anticipate that our Mountain and Lodging segment operating results will continue to provide a significant source of future operating cash flows (primarily those generated in our second and third fiscal quarters).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our $117.4 million of cash and cash equivalents at July 31, 2017, we had $280.2 million available under the revolver component of our Vail Holdings Credit Agreement as of July 31, 2017 (which represents the total commitment of $400.0 million less outstanding borrowings of $50.0 million and certain letters of credit outstanding of $69.8 million). Also, to further support the liquidity needs of Whistler Blackcomb, we had C$158.0 million ($126.7 million) available under the revolver component of our Whistler Credit Agreement (which represents the total commitment of C$300.0 million ($240.7 million) less outstanding borrowings of C$141.0 million ($113.2 million) and a letter of credit outstanding of C$1.0 million ($0.8 million)). We expect that our liquidity needs in the near term will be met by continued use of operating cash flows and borrowings under both the Vail Holdings Credit Agreement and Whistler Credit Agreement. The Vail Holdings Credit Agreement, maturing in October 2021, and the Whistler Credit Agreement, maturing in November 2021, provide adequate flexibility and are priced favorably with any new borrowings currently priced at LIBOR plus 1.25% and Bankers Acceptance Rate plus 1.75%,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2017 compared to Fiscal 2016</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generated $456.9 million of cash from operating activities during Fiscal 2017, an increase of $30.1 million when compared to $426.8 million of cash generated during Fiscal 2016. The increase in operating cash flows was primarily a result of improved Mountain segment operating results in Fiscal 2017 (including Whistler Blackcomb operations, partially offset by transaction, transition and integration costs) compared to Fiscal 2016. These increases in operating cash inflows were partially offset by an increase in estimated domestic and foreign income tax payments of $27.4 million made during Fiscal 2017 compared Fiscal 2016, a decrease in accounts payable, an increase in cash interest payments due to incremental term loan borrowings under our Vail Holdings Credit Agreement and assumed borrowings under the Whistler Credit Agreement during Fiscal 2017, and receipt of a $4.5 million key money deposit related to the termination of the Half Moon management agreement in Fiscal 2016. Additionally, we generated $14.9 million of proceeds from real estate development project closings during Fiscal 2017 compared to $19.7 million in proceeds from real estate development project closings that occurred in Fiscal 2016 (each year net of sales commissions and deposits previously received).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increased by $558.8 million during Fiscal 2017, primarily due to cash payments of $553.2 million, net of cash acquired, related to the acquisitions of Whistler Blackcomb for $512.3 million (cash portion of the consideration) and Stowe for $40.9 million, and an increase in capital expenditures of $35.2 million during Fiscal 2017. These increases were partially offset by the acquisition of Wilmot for $20.2 million during Fiscal 2016.</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provided by financing activities increased $543.1 million during Fiscal 2017 primarily due to incremental term loan borrowings under our Vail Holdings Credit Agreement of $509.4 million used to fund a portion of the cash consideration for the Whistler Blackcomb acquisition, partially offset by an increase of $18.8 million in term loan payments during Fiscal 2017, and a decrease in net payments under the revolver portion of our Vail Holdings Credit Agreement of $85.0 million during Fiscal 2017. Additionally, in Fiscal 2017, we realized a $53.6 million reduction of cash outflows related to repurchases of common stock during Fiscal 2016. These net increases in cash inflows from financing activities were partially offset by an increase in net payments under the revolver portion of the Whistler Credit Agreement of $37.0 million and an increase in dividends paid of $42.4 million during Fiscal 2017.</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009"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color w:val="auto"/>
        </w:rPr>
        <w:t>Fiscal 2016 compared to Fiscal 2015</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generated $426.8 million of cash from operating activities during Fiscal 2016, an increase of $123.1 million when compared to $303.7 million of cash generated during Fiscal 2015. The increase in operating cash flows was primarily a result of improved Mountain and Lodging segment operating results in Fiscal 2016 compared to Fiscal 2015, excluding the non-cash gain on litigation settlement of $16.4 million recorded in Fiscal 2015; an increase in season pass sales during Fiscal 2016 compared to Fiscal 2015, including a full season of Perisher season pass sales; decreased cash interest payments during Fiscal 2016 compared to Fiscal 2015, primarily as a result from the pay-down and refinancing of our 6.50% Notes and the payment of $8.6 million for the redemption tender premium in Fiscal 2015; a $10.0 million Park City litigation payment to Talisker during Fiscal 2015; and receipt of a $4.5 million key money deposit related to the termination of the Half Moon management agreement during Fiscal 2016. These increases in operating cash inflows were partially offset by a net increase in cash outflows of $26.4 million from the combination of estimated income tax payments made during Fiscal 2016 and the receipt of an income tax refund during Fiscal 2015 in conjunction with the settlement reached with the IRS regarding the utilization of Federal NOLs, and receipt of a $12.5 million legal settlement during Fiscal 2015. Additionally, we generated $19.7 million in proceeds from real estate development project closings (net of sales commissions and deposits previously received) during Fiscal 2016, which is a decrease of $18.0 million as compared to $37.7 million in proceeds (net of sales commissions and deposits previously received) from real estate closings that occurred in Fiscal 2015.</w:t>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decreased by $303.1 million during Fiscal 2016 compared to Fiscal 2015, primarily due to the acquisitions of Park City Mountain Resort for $182.5 million and Perisher for $124.6 million (net of cash acquired) during Fiscal 2015 as compared to the acquisition of Wilmot for $20.2 million during Fiscal 2016. Additionally, resort capital expenditures during Fiscal 2016 decreased $14.6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increased $386.5 million during Fiscal 2016 compared to Fiscal 2015, primarily due to the net payoff of borrowings under the revolver portion of the Vail Holdings Credit Agreement primarily associated with the Perisher acquisition in Fiscal 2015; payments on the Vail Holdings Credit Agreement term loan; repurchases of our common stock of $53.8 million; and an increase in dividends paid of $28.3 million during Fiscal 2016.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Uses of Cash</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Capital Expenditures</w:t>
      </w:r>
    </w:p>
    <w:p>
      <w:pPr>
        <w:spacing w:after="0" w:line="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historically invested significant amounts of cash in capital expenditures for our resort operations, and we expect to continue to do so subject to operating performance particularly as it relates to discretionary projects. In addition, we may incur capital expenditures for retained ownership interests associated with third-party real estate development projects. Currently planned capital expenditures primarily include investments that will allow us to maintain our high-quality standards, as well as certain incremental discretionary improvements at our mountain resorts and Urban ski areas and throughout our owned hotels. We evaluate additional discretionary capital improvements based on an expected level of return on investment. We currently anticipate we will spend approximately $103.0 million on resort capital expenditures for calendar year 2017, excluding anticipated investments at Whistler Blackcomb, capital expenditures for U.S. summer-related activities and one-time integration capital expenditures at Whistler Blackcomb. This estimated spending includes normal inflation on our capital investments at our resorts. Included in these estimated capital expenditures are approximately $65.0 million of maintenance capital expenditures (excluding maintenance capital expenditures at Whistler Blackcomb), which are necessary to maintain appearance and level of service appropriate to our resort operations. Discretionary expenditures for calendar year 2017 include, among other projects, upgrading various chairlifts at the Company’s resorts, including the Northwoods lift at Vail Mountain (#11), the Peak 10 Falcon Chair at Breckenridge, Drink of Water chair (#5) at Beaver Creek, the Montezuma lift at Keystone and the renovation and expansion of Labonte’s restaurant at Keystone. Our capital plan also includes the second phase of a two-year process to revamp our primary websites to a single ‘responsive’ desktop/mobile platform which will be integrated with our data-based and personalized marketing technology and the first phase of a three year plan to completely revamp and modernize the primary software platform for all of our resort operations. We also plan to invest approximately $6.0 million in calendar year 2017 for Epic Discovery summer activities, primarily at Breckenridge. At Whistler Blackcomb, we plan to invest approximately $17.0 million in calendar year 2017 for maintenance and discretionary projects. Additionally, we plan to invest approximately $17.0 million in capital during calendar year 2017 for the Whistler Blackcomb integration.</w:t>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Approximately $51.0 million was spent for capital expenditures in calendar year 2017 as of July 31, 2017, leaving approximately $92.0 million to spend in the remainder of calendar year 2017, including anticipated investments at Whistler Blackcomb, capital expenditures for U.S. summer related activities and one-time integration capital expenditures at Whistler Blackcomb and excluding capital expenditures for Stowe.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227" w:right="239" w:bottom="1440" w:gutter="0" w:footer="0" w:header="0"/>
        </w:sectPr>
      </w:pPr>
    </w:p>
    <w:bookmarkStart w:id="54" w:name="page55"/>
    <w:bookmarkEnd w:id="54"/>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plan to utilize cash on hand, borrowings available under our credit agreements and/or cash flow generated from future operations to provide the cash necessary to complete our capital plans.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Whistler Blackcomb Acquisition</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October 14, 2016, in order to finance the cash portion of the consideration and payment of associated fees and expenses of the Whistler Blackcomb acquisition, the Company entered into an amendment to its Vail Holdings Credit Agreement through which the Company increased its term loan borrowings by $509.4 million and extended the maturity date for the outstanding term loans and revolver facility under the Vail Holdings Credit Agreement to October 14, 2021. Borrowings under the Vail Holdings Credit Agreement, including the term loan facility, bear interest at approximately 2.48% as of July 31, 2017.</w:t>
      </w: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the Company assumed the Whistler Credit Agreement which consists of a C$300.0 million ($240.7 million) revolving credit facility that matures on November 12, 2021. As of July 31, 2017, C$158.0 million ($126.7 million) was outstanding under this revolving credit facility.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Stowe Mountain Resort Acquisition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7, 2017, we acquired Stowe in Stowe, Vermont, from Mt. Mansfield Company, Inc., a wholly-owned subsidiary of American International Group, Inc., for a cash purchase price of $40.9 million, subject to certain adjustments as provided in the purchase agreement. The Company funded the cash purchase price through cash on hand.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Principal payments on the majority of our long-term debt ($1,122.6 million of the total $1,276.5 million debt outstanding as of July 31, 2017) are not due until fiscal year 2022 and beyond. As of July 31, 2017 and 2016, total long-term debt, net (including long-term debt due within one year) was $1,272.4 million and $700.3 million, respectively. Net Debt (defined as long-term debt, net plus long-term debt due within one year less cash and cash equivalents) increased from $632.4 million as of July 31, 2016 to $1,155.0 million as of July 31, 2017, primarily due debt incurred and assumed relating to the acquisition of Whistler Blackcomb, as discussed above.</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debt service requirements can be impacted by changing interest rates as we had $937.6 million of variable-rate debt outstanding as of July 31, 2017. We have entered into interest rate swap agreements to fix the interest rate on C$125.0 million of our Canadian-denominated senior credit facility, which has the effect of fixing the underlying floating interest rate on a portion of the principal amount outstanding. A 100-basis point change in LIBOR would cause our annual interest payments to change by approximately $8.4 million. Additionally, the annual payments associated with the financing of the Canyons transaction increase by the greater of CPI less 1%, or 2%. The fluctuation in our debt service requirements, in addition to interest rate and inflation changes, may be impacted by future borrowings under our credit agreements or other alternative financing arrangements we may enter into. Our long term liquidity needs depend upon operating results that impact the borrowing capacity under our credit agreements, which can be mitigated by adjustments to capital expenditures, the flexibility of investment activities and the ability to obtain favorable future financing. We can respond to liquidity impacts of changes in the business and economic environment by managing our capital expenditure.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Share Repurchase Program</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share repurchase program is conducted under authorizations made from time to time by our Board of Directors. Our Board of Directors initially authorized the repurchase of up to 3,000,000 shares of common stock (March 9, 2006) and later authorized additional repurchases of up to 3,000,000 additional shares (July 16, 2008) and 1,500,000 shares (December 4, 2015), for a total authorization to repurchase shares of up to 7,500,000 shares. During Fiscal 2017, we repurchased 1,317 shares of common stock at a cost of $0.2 million. Since the inception of this stock repurchase program through July 31, 2017, we have repurchased 5,436,294 shares at a cost of approximately $247.2 million. As of July 31, 2017, 2,063,706 shares remained available to repurchase under the existing repurchase authorization. Shares of common stock purchased pursuant to the repurchase program will be held as treasury shares and may be used for the issuance of shares under the Company’s share award plan. Repurchases under the program may be made from time to time at prevailing prices as permitted by applicable laws, and subject to market conditions and other factors. The timing, as well as the number of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our common stock and the number of shares that become available for sale at prices that we believe are attractive. The share repurchase program has no expiration date.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013"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Dividend Payments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fiscal 2011, our Board of Directors approved the commencement of a regular quarterly cash dividend on our common stock at an annual rate of $0.60 per share, subject to quarterly declaration. Since the initial commencement of a regular quarterly cash dividend, our Board of Directors has annually approved an increase to our cash dividend on our common stock and on March 9, 2017, our Board of Directors approved an approximate 30% increase in our quarterly cash dividend to $1.053 per share (or approximately $42.2 million per quarter based upon shares outstanding as of July 31, 2017). For the year ended July 31, 2017, we paid cash dividends of $3.726 per share ($146.2 million in the aggregate.) These dividends were funded through available cash on hand and borrowing under the revolving portion of our Vail Holdings Credit Agreement. Subject to the discretion of our Board of Directors, applicable law and contractual restrictions, we anticipate paying regular quarterly cash dividends on our common stock for the foreseeable future. The amount, if any, of the dividends to be paid in the future will depend on our available cash on hand, anticipated cash needs, overall financial condition, restrictions contained in our Vail Holdings Credit Agreement, future prospects for earnings and cash flows, as well as other factors considered relevant by our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and Limitations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must abide by certain restrictive financial covenants under our credit agreements. The most restrictive of those covenants include the following covenants: for the Vail Holdings Credit Agreement Net Funded Debt to Adjusted EBITDA ratio and the Interest Coverage ratio (each as defined in the Vail Holdings Credit Agreement) and for the Whistler Credit Agreement Consolidated Total Leverage Ratio and Consolidated Interest Coverage Ratio (each as defined in the Whistler Credit Agreement). In addition, our financing arrangements limit our ability to make certain restricted payments, pay dividends on or redeem or repurchase stock, make certain investments, make certain affiliate transfers and may limit our ability to enter into certain mergers, consolidations or sales of assets and incur certain indebtedness. Our borrowing availability under the Vail Holdings Credit Agreement is primarily determined by the Net Funded Debt to Adjusted EBITDA ratio, which is based on our segment operating performance, as defined in the Vail Holdings Credit Agreement. Our borrowing availability under the Whistler Credit Agreement is primarily determined based on the commitment size of the credit facility and our compliance with the terms of the Whistler Credit Agreement.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were in compliance with all restrictive financial covenants in our debt instruments as of July 31, 2017. We expect that we will continue to meet all applicable financial maintenance covenants in our credit agreements throughout the year ending July 31, 2018. However, there can be no assurance that we will continue to meet such financial covenants. If such covenants are not met, we would be required to seek a waiver or amendment from the banks participating in our credit agreements. There can be no assurance that such waiver or amendment would be granted, which could have a material adverse impact on our liquidity.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our ongoing operations, we enter into arrangements that obligate us to make future payments under contracts such as debt agreements, lease agreements and construction agreements in conjunction with our resort capital expenditures. Debt obligations, which totaled $1,276.5 million as of July 31, 2017, are recognized as liabilities in our Consolidated Balance Sheet. Obligations under construction contracts are not recognized as liabilities in our Consolidated Balance Sheet until services and/or goods are received which is in accordance with GAAP. Additionally, operating lease and service contract obligations, which totaled $324.9 million as of July 31, 2017, are not recognized as liabilities in our Consolidated Balance Sheet, which is in accordance with GAAP. A summary of our contractual obligations as of July 31, 2017 is presented below (in thousands):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56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3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400" w:type="dxa"/>
            <w:vAlign w:val="bottom"/>
          </w:tcPr>
          <w:p>
            <w:pPr>
              <w:spacing w:after="0"/>
              <w:rPr>
                <w:sz w:val="20"/>
                <w:szCs w:val="20"/>
                <w:color w:val="auto"/>
              </w:rPr>
            </w:pPr>
          </w:p>
        </w:tc>
        <w:tc>
          <w:tcPr>
            <w:tcW w:w="10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2-3</w:t>
            </w:r>
          </w:p>
        </w:tc>
        <w:tc>
          <w:tcPr>
            <w:tcW w:w="400" w:type="dxa"/>
            <w:vAlign w:val="bottom"/>
          </w:tcPr>
          <w:p>
            <w:pPr>
              <w:spacing w:after="0"/>
              <w:rPr>
                <w:sz w:val="20"/>
                <w:szCs w:val="20"/>
                <w:color w:val="auto"/>
              </w:rPr>
            </w:pPr>
          </w:p>
        </w:tc>
        <w:tc>
          <w:tcPr>
            <w:tcW w:w="10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4-5</w:t>
            </w:r>
          </w:p>
        </w:tc>
        <w:tc>
          <w:tcPr>
            <w:tcW w:w="320" w:type="dxa"/>
            <w:vAlign w:val="bottom"/>
          </w:tcPr>
          <w:p>
            <w:pPr>
              <w:spacing w:after="0"/>
              <w:rPr>
                <w:sz w:val="20"/>
                <w:szCs w:val="20"/>
                <w:color w:val="auto"/>
              </w:rPr>
            </w:pPr>
          </w:p>
        </w:tc>
        <w:tc>
          <w:tcPr>
            <w:tcW w:w="12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More than</w:t>
            </w:r>
          </w:p>
        </w:tc>
      </w:tr>
      <w:tr>
        <w:trPr>
          <w:trHeight w:val="270"/>
        </w:trPr>
        <w:tc>
          <w:tcPr>
            <w:tcW w:w="3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720" w:type="dxa"/>
            <w:vAlign w:val="bottom"/>
          </w:tcPr>
          <w:p>
            <w:pPr>
              <w:spacing w:after="0"/>
              <w:rPr>
                <w:sz w:val="23"/>
                <w:szCs w:val="23"/>
                <w:color w:val="auto"/>
              </w:rPr>
            </w:pPr>
          </w:p>
        </w:tc>
        <w:tc>
          <w:tcPr>
            <w:tcW w:w="12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spacing w:after="0"/>
              <w:rPr>
                <w:sz w:val="23"/>
                <w:szCs w:val="23"/>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400" w:type="dxa"/>
            <w:vAlign w:val="bottom"/>
          </w:tcPr>
          <w:p>
            <w:pPr>
              <w:spacing w:after="0"/>
              <w:rPr>
                <w:sz w:val="23"/>
                <w:szCs w:val="23"/>
                <w:color w:val="auto"/>
              </w:rPr>
            </w:pP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400" w:type="dxa"/>
            <w:vAlign w:val="bottom"/>
          </w:tcPr>
          <w:p>
            <w:pPr>
              <w:spacing w:after="0"/>
              <w:rPr>
                <w:sz w:val="23"/>
                <w:szCs w:val="23"/>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320" w:type="dxa"/>
            <w:vAlign w:val="bottom"/>
          </w:tcPr>
          <w:p>
            <w:pPr>
              <w:spacing w:after="0"/>
              <w:rPr>
                <w:sz w:val="23"/>
                <w:szCs w:val="23"/>
                <w:color w:val="auto"/>
              </w:rPr>
            </w:pPr>
          </w:p>
        </w:tc>
        <w:tc>
          <w:tcPr>
            <w:tcW w:w="12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5 years</w:t>
            </w:r>
          </w:p>
        </w:tc>
      </w:tr>
      <w:tr>
        <w:trPr>
          <w:trHeight w:val="27"/>
        </w:trPr>
        <w:tc>
          <w:tcPr>
            <w:tcW w:w="3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3600" w:type="dxa"/>
            <w:vAlign w:val="bottom"/>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Long-Term Debt (Outstanding Principal) </w:t>
            </w:r>
            <w:r>
              <w:rPr>
                <w:rFonts w:ascii="Times New Roman" w:cs="Times New Roman" w:eastAsia="Times New Roman" w:hAnsi="Times New Roman"/>
                <w:sz w:val="25"/>
                <w:szCs w:val="25"/>
                <w:color w:val="auto"/>
                <w:vertAlign w:val="superscript"/>
              </w:rPr>
              <w:t>(1)</w:t>
            </w: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1,276,521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38,397</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76,971</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774,721</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386,432</w:t>
            </w:r>
          </w:p>
        </w:tc>
      </w:tr>
      <w:tr>
        <w:trPr>
          <w:trHeight w:val="270"/>
        </w:trPr>
        <w:tc>
          <w:tcPr>
            <w:tcW w:w="36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Fixed Rate Interest </w:t>
            </w:r>
            <w:r>
              <w:rPr>
                <w:rFonts w:ascii="Times New Roman" w:cs="Times New Roman" w:eastAsia="Times New Roman" w:hAnsi="Times New Roman"/>
                <w:sz w:val="25"/>
                <w:szCs w:val="25"/>
                <w:color w:val="auto"/>
                <w:vertAlign w:val="superscript"/>
              </w:rPr>
              <w:t>(1)</w:t>
            </w:r>
          </w:p>
        </w:tc>
        <w:tc>
          <w:tcPr>
            <w:tcW w:w="720" w:type="dxa"/>
            <w:vAlign w:val="bottom"/>
          </w:tcPr>
          <w:p>
            <w:pPr>
              <w:spacing w:after="0"/>
              <w:rPr>
                <w:sz w:val="23"/>
                <w:szCs w:val="23"/>
                <w:color w:val="auto"/>
              </w:rPr>
            </w:pP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1,721</w:t>
            </w:r>
          </w:p>
        </w:tc>
        <w:tc>
          <w:tcPr>
            <w:tcW w:w="28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241</w:t>
            </w:r>
          </w:p>
        </w:tc>
        <w:tc>
          <w:tcPr>
            <w:tcW w:w="4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438</w:t>
            </w:r>
          </w:p>
        </w:tc>
        <w:tc>
          <w:tcPr>
            <w:tcW w:w="4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w:t>
            </w:r>
          </w:p>
        </w:tc>
        <w:tc>
          <w:tcPr>
            <w:tcW w:w="3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670</w:t>
            </w:r>
          </w:p>
        </w:tc>
      </w:tr>
      <w:tr>
        <w:trPr>
          <w:trHeight w:val="270"/>
        </w:trPr>
        <w:tc>
          <w:tcPr>
            <w:tcW w:w="36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Canyons Obligation </w:t>
            </w:r>
            <w:r>
              <w:rPr>
                <w:rFonts w:ascii="Times New Roman" w:cs="Times New Roman" w:eastAsia="Times New Roman" w:hAnsi="Times New Roman"/>
                <w:sz w:val="25"/>
                <w:szCs w:val="25"/>
                <w:color w:val="auto"/>
                <w:vertAlign w:val="superscript"/>
              </w:rPr>
              <w:t>(2)</w:t>
            </w:r>
          </w:p>
        </w:tc>
        <w:tc>
          <w:tcPr>
            <w:tcW w:w="7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1,678,146</w:t>
            </w: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27,164</w:t>
            </w: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55,969</w:t>
            </w: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58,230</w:t>
            </w: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1,536,783</w:t>
            </w:r>
          </w:p>
        </w:tc>
      </w:tr>
      <w:tr>
        <w:trPr>
          <w:trHeight w:val="270"/>
        </w:trPr>
        <w:tc>
          <w:tcPr>
            <w:tcW w:w="36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Operating Leases and Service Contracts </w:t>
            </w:r>
            <w:r>
              <w:rPr>
                <w:rFonts w:ascii="Times New Roman" w:cs="Times New Roman" w:eastAsia="Times New Roman" w:hAnsi="Times New Roman"/>
                <w:sz w:val="25"/>
                <w:szCs w:val="25"/>
                <w:color w:val="auto"/>
                <w:vertAlign w:val="superscript"/>
              </w:rPr>
              <w:t>(3)</w:t>
            </w:r>
          </w:p>
        </w:tc>
        <w:tc>
          <w:tcPr>
            <w:tcW w:w="720" w:type="dxa"/>
            <w:vAlign w:val="bottom"/>
          </w:tcPr>
          <w:p>
            <w:pPr>
              <w:spacing w:after="0"/>
              <w:rPr>
                <w:sz w:val="23"/>
                <w:szCs w:val="23"/>
                <w:color w:val="auto"/>
              </w:rPr>
            </w:pP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324,917</w:t>
            </w:r>
          </w:p>
        </w:tc>
        <w:tc>
          <w:tcPr>
            <w:tcW w:w="28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51,660</w:t>
            </w:r>
          </w:p>
        </w:tc>
        <w:tc>
          <w:tcPr>
            <w:tcW w:w="4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68,404</w:t>
            </w:r>
          </w:p>
        </w:tc>
        <w:tc>
          <w:tcPr>
            <w:tcW w:w="4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55,568</w:t>
            </w:r>
          </w:p>
        </w:tc>
        <w:tc>
          <w:tcPr>
            <w:tcW w:w="3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149,285</w:t>
            </w:r>
          </w:p>
        </w:tc>
      </w:tr>
      <w:tr>
        <w:trPr>
          <w:trHeight w:val="270"/>
        </w:trPr>
        <w:tc>
          <w:tcPr>
            <w:tcW w:w="3600" w:type="dxa"/>
            <w:vAlign w:val="bottom"/>
            <w:tcBorders>
              <w:bottom w:val="single" w:sz="8" w:color="auto"/>
            </w:tcBorders>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Purchase Obligations and Other </w:t>
            </w:r>
            <w:r>
              <w:rPr>
                <w:rFonts w:ascii="Times New Roman" w:cs="Times New Roman" w:eastAsia="Times New Roman" w:hAnsi="Times New Roman"/>
                <w:sz w:val="25"/>
                <w:szCs w:val="25"/>
                <w:color w:val="auto"/>
                <w:vertAlign w:val="superscript"/>
              </w:rPr>
              <w:t>(4)</w:t>
            </w:r>
          </w:p>
        </w:tc>
        <w:tc>
          <w:tcPr>
            <w:tcW w:w="7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494,221</w:t>
            </w: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360,980</w:t>
            </w: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99,353</w:t>
            </w: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5,174</w:t>
            </w:r>
          </w:p>
        </w:tc>
        <w:tc>
          <w:tcPr>
            <w:tcW w:w="3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28,714</w:t>
            </w:r>
          </w:p>
        </w:tc>
      </w:tr>
      <w:tr>
        <w:trPr>
          <w:trHeight w:val="237"/>
        </w:trPr>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3,775,526</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478,442</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301,135</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894,065</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2,101,884</w:t>
            </w:r>
          </w:p>
        </w:tc>
      </w:tr>
      <w:tr>
        <w:trPr>
          <w:trHeight w:val="27"/>
        </w:trPr>
        <w:tc>
          <w:tcPr>
            <w:tcW w:w="3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3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ind w:left="660" w:hanging="652"/>
        <w:spacing w:after="0" w:line="261" w:lineRule="auto"/>
        <w:tabs>
          <w:tab w:leader="none" w:pos="660"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fixed-rate interest payments, as well as long-term debt payments, included in the table above, assume that all debt outstanding as of July 31, 2017 will be held to maturity. Interest payments associated with variable-rate debt have not been included in the table. Assuming that our $937.6 million of variable-rate long-term debt as of July 31, 2017 is held to maturity and utilizing interest rates in effect at July 31, 2017, our annual interest payments (including commitment</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011" w:right="239" w:bottom="1440" w:gutter="0" w:footer="0" w:header="0"/>
        </w:sectPr>
      </w:pPr>
    </w:p>
    <w:bookmarkStart w:id="56" w:name="page57"/>
    <w:bookmarkEnd w:id="56"/>
    <w:p>
      <w:pPr>
        <w:jc w:val="both"/>
        <w:ind w:left="660"/>
        <w:spacing w:after="0" w:line="304" w:lineRule="auto"/>
        <w:rPr>
          <w:sz w:val="20"/>
          <w:szCs w:val="20"/>
          <w:color w:val="auto"/>
        </w:rPr>
      </w:pPr>
      <w:r>
        <w:rPr>
          <w:rFonts w:ascii="Times New Roman" w:cs="Times New Roman" w:eastAsia="Times New Roman" w:hAnsi="Times New Roman"/>
          <w:sz w:val="18"/>
          <w:szCs w:val="18"/>
          <w:i w:val="1"/>
          <w:iCs w:val="1"/>
          <w:color w:val="auto"/>
        </w:rPr>
        <w:t>fees and letter of credit fees) on variable rate long-term debt as of July 31, 2017 is anticipated to be approximately $24.3 million for Fiscal 2018, approximately $23.4 million for Fiscal 2019 and approximately $22.5 million for at least each of the next three years subsequent to Fiscal 2019. The future annual interest obligations noted herein are estimated only in relation to debt outstanding as of July 31, 2017 and do not reflect interest obligations on potential future debt. We have entered into interest rate swap agreements to fix the interest rate on a portion of our Canadian-denominated senior credit facility, which has the effect of fixing the underlying floating interest rate on a portion of the principal amount outstanding.</w:t>
      </w:r>
    </w:p>
    <w:p>
      <w:pPr>
        <w:spacing w:after="0" w:line="102" w:lineRule="exact"/>
        <w:rPr>
          <w:sz w:val="20"/>
          <w:szCs w:val="20"/>
          <w:color w:val="auto"/>
        </w:rPr>
      </w:pPr>
    </w:p>
    <w:p>
      <w:pPr>
        <w:jc w:val="both"/>
        <w:ind w:left="660" w:hanging="652"/>
        <w:spacing w:after="0" w:line="267" w:lineRule="auto"/>
        <w:tabs>
          <w:tab w:leader="none" w:pos="660" w:val="left"/>
        </w:tabs>
        <w:numPr>
          <w:ilvl w:val="0"/>
          <w:numId w:val="3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Reflects interest expense payments associated with the remaining lease term of the Canyons obligation, initially 50 years, assuming a 2% per annum (floor) increase in payments. Any potential increases to the annual fixed payment above the 2% floor due to inflation linked index of CPI less 1% have been excluded.</w:t>
      </w:r>
    </w:p>
    <w:p>
      <w:pPr>
        <w:spacing w:after="0" w:line="119" w:lineRule="exact"/>
        <w:rPr>
          <w:rFonts w:ascii="Times New Roman" w:cs="Times New Roman" w:eastAsia="Times New Roman" w:hAnsi="Times New Roman"/>
          <w:sz w:val="18"/>
          <w:szCs w:val="18"/>
          <w:i w:val="1"/>
          <w:iCs w:val="1"/>
          <w:color w:val="auto"/>
        </w:rPr>
      </w:pPr>
    </w:p>
    <w:p>
      <w:pPr>
        <w:ind w:left="660" w:right="20" w:hanging="652"/>
        <w:spacing w:after="0" w:line="284" w:lineRule="auto"/>
        <w:tabs>
          <w:tab w:leader="none" w:pos="660" w:val="left"/>
        </w:tabs>
        <w:numPr>
          <w:ilvl w:val="0"/>
          <w:numId w:val="3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payments under noncancelable operating leases included in the table above reflect the applicable minimum lease payments and exclude any potential contingent rent payments.</w:t>
      </w:r>
    </w:p>
    <w:p>
      <w:pPr>
        <w:spacing w:after="0" w:line="104" w:lineRule="exact"/>
        <w:rPr>
          <w:rFonts w:ascii="Times New Roman" w:cs="Times New Roman" w:eastAsia="Times New Roman" w:hAnsi="Times New Roman"/>
          <w:sz w:val="18"/>
          <w:szCs w:val="18"/>
          <w:i w:val="1"/>
          <w:iCs w:val="1"/>
          <w:color w:val="auto"/>
        </w:rPr>
      </w:pPr>
    </w:p>
    <w:p>
      <w:pPr>
        <w:jc w:val="both"/>
        <w:ind w:left="660" w:hanging="652"/>
        <w:spacing w:after="0" w:line="261" w:lineRule="auto"/>
        <w:tabs>
          <w:tab w:leader="none" w:pos="660" w:val="left"/>
        </w:tabs>
        <w:numPr>
          <w:ilvl w:val="0"/>
          <w:numId w:val="3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Purchase obligations and other primarily include amounts which are classified as trade payables, accrued payroll and benefits, accrued fees and assessments, contingent consideration liability, accrued taxes (including taxes for uncertain tax positions) on our Consolidated Balance Sheet as of July 31, 2017; and, other commitments for goods and services not yet received, including construction contracts, not included on our Consolidated Balance Sheet as of July 31, 2017 in accordance with GAAP.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do not have off balance sheet transactions that are expected to have a material effect on our financial condition, revenue, expenses, results of operations, liquidity, capital expenditures or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us to select appropriate accounting policies and to make judgments and estimates affecting the application of those accounting policies. In applying our accounting policies, different business conditions or the use of different assumptions may result in materially different amounts reported in the Consolidated Financial Statements.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identified the most critical accounting policies which were determined by considering accounting policies that involve the most complex or subjective decisions or assessments. We also have other policies considered key accounting policies; however, these policies do not meet the definition of critical accounting policies because they do not generally require us to make estimates or judgments that are complex or subjective. We have reviewed these critical accounting policies and related disclosures with our Audit Committee of the Board of Directors.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carrying value of goodwill and indefinite-lived intangible assets are evaluated for possible impairment on an annual basis or between annual tests if an event occurs or circumstances change that would more likely than not reduce the estimated fair value of a reporting unit or indefinite-lived intangible asset below its carrying value. Other intangible assets are evaluated for impairment only when there is evidence that events or changes in circumstances indicate that the carrying amount of these assets may not be recoverable.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Judgments and Uncertainties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Application of the goodwill and indefinite-lived intangible asset impairment test requires judgment, including the identification of reporting units, assignment of assets and liabilities to reporting units, assignment of goodwill to reporting units and determination of the estimated fair value of reporting units and indefinite-lived intangible assets. We determine the estimated fair value of our reporting units using a discounted cash flow analysis. The estimated fair value of indefinite-lived intangible assets is primarily determined using the income approach based upon estimated future revenue streams. These analyses require significant judgments, including estimation of future cash flows, which is dependent on internal forecasts, available industry/market data (to the extent available), estimation of the long-term rate of growth for our business including expectations and assumptions regarding the impact of general economic conditions on our business, estimation of the useful life over which cash flows will occur (including terminal multiples), determination of the respective weighted average cost of capital and market participant assumptions. Changes in these estimates and assumptions could materially affect the determination of estimated fair value and impairment for each reporting unit or indefinite-lived intangible asset. We evaluate our reporting units on an annual basis and allocate goodwill to our reporting units based on the reporting units expected to benefit from the acquisition generating the goodwill.</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200"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color w:val="auto"/>
        </w:rPr>
        <w:t>Effect if Actual Results Differ From Assumptions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and indefinite-lived intangible assets are tested for impairment at least annually as of May 1. Based upon our annual impairment test performed during the fourth fiscal quarter of Fiscal 2017 the estimated fair value of our reporting units and indefinite-lived intangible assets were in excess of their respective carrying values, and as such no impairment of goodwill or indefinite-lived intangible assets existed.</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Fair value determinations require considerable judgment and are sensitive to changes in underlying assumptions and factors. As a result, there can be no assurance that the estimates and assumptions made for purposes of the annual goodwill impairment test will prove to be an accurate prediction of the future. Examples of events or circumstances that could reasonably be expected to negatively affect the underlying key assumptions and ultimately impact the estimated fair value of our reporting units may include such items as: (1) prolonged adverse weather conditions resulting in a sustained decline in guest visitation; (2) a prolonged weakness in the general economic conditions in which guest visitation and spending is adversely impacted; and, (3) volatility in the equity and debt markets which could result in a higher discount rate.</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historical performance and current expectations have resulted in estimated fair values of our reporting units in excess of carrying values, if our assumptions are not realized, it is possible that an impairment charge may need to be recorded in the future. However, it is not possible at this time to determine if an impairment charge would result or if such a charge would be material. As of July 31, 2017, we have $1,519.7 million of goodwill and $233.5 million of indefinite-lived intangible assets recorded on our Consolidated Balance Sheets. There can be no assurance that the estimates and assumptions made for purposes of the annual goodwill impairment tests for goodwill will prove to be an accurate prediction of the future.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must make certain estimates and judgments in determining income tax expense for financial statement purposes. These estimates and judgments occur in the calculation of tax credits and deductions and in the calculation of certain tax assets and liabilities, which arise from differences in the timing of recognition of revenue and expense for tax and financial statement purposes, as well as the interest and penalties relating to uncertain tax positions. The calculation of our tax liabilities involves dealing with uncertainties in the application of complex tax regulations. We recognize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us to estimate and measure the largest tax benefit that is cumulatively greater than 50% likely of being realized upon ultimate settlement. It is inherently difficult and subjective to estimate such amounts, as this requires us to determine the probability of various possible outcomes. This evaluation is based on factors including, but not limited to, changes in facts or circumstances, changes in tax law, interpretation of tax law, effectively settled issues under audit and new audit activity. A significant amount of time may pass before a particular matter, for which we may have established a reserve, is audited and fully resolved.</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Judgments and Uncertainties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estimates of our tax contingencies reserve contain uncertainty because management must use judgment to estimate the potential exposure associated with our various filing positions.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if Actual Results Differ From Assumptions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the estimates and judgments discussed herein are reasonable and we have adequate reserves for our tax contingencies for uncertain tax positions. Our reserves for uncertain tax positions, including any income tax related interest and penalties ($79.7 million as of July 31, 2017), relate to the treatment of the Talisker lease payments as payments of debt obligations and that the tax basis in Canyons goodwill is deductible. Actual results could differ and we may be exposed to increases or decreases in those reserves and tax provisions that could be material.</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unfavorable tax settlement could require the use of cash and could possibly result in increased tax expense and effective tax rate and/or adjustments to our deferred tax assets and deferred tax liabilities in the year of resolution. A favorable tax settlement could possibly result in a reduction in our tax expense, effective tax rate, income taxes payable, other long-term liabilities and/or adjustments to our deferred tax assets and deferred tax liabilities in the year of settlement or in future years.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173"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Depreciable Lives of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Mountain and lodging operational assets, furniture and fixtures, computer equipment, software, vehicles and leasehold improvements are primarily depreciated using the straight-line method over the estimated useful life of the asset. Assets may become obsolete or require replacement before the end of their useful life in which the remaining book value would be written-off or we could incur costs to remove or dispose of assets no longer in use.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Judgments and Uncertainties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estimates of our useful lives of the assets contain uncertainty because management must use judgment to estimate the useful life of the asset.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if Actual Results Differ From Assumptions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believe the estimates and judgments discussed herein are reasonable, actual results could differ, and we may be exposed to increased expense related to depreciable assets disposed of, removed or taken out of service prior to its originally estimated useful life, which may be material. A 10% decrease in the estimated useful lives of depreciable assets would have increased depreciation expense by approximately $11.6 million for Fiscal 2017.</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component of our growth strategy has been to acquire and integrate businesses that complement our existing operations. We account for business combinations in accordance with the guidance for business combinations and related literature. Accordingly, we allocate the purchase price of acquired businesses to the identifiable tangible and intangible assets acquired and liabilities assumed based upon their estimated fair values at the date of acquisition. The difference between the purchase price and the estimated fair value of the net assets acquired or the excess of the aggregate estimated fair values of assets acquired and liabilities assumed is recorded as goodwill. In determining the estimated fair values of assets acquired and liabilities assumed in a business combination, we use various recognized valuation methods including present value modeling and referenced market values (where available). Valuations are performed by management or independent valuation specialists under management’s supervision, where appropriate.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Judgments and Uncertainties</w:t>
      </w:r>
    </w:p>
    <w:p>
      <w:pPr>
        <w:spacing w:after="0" w:line="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Accounting for business combinations requires our management to make significant estimates and assumptions, especially at the acquisition date including our estimates for intangible assets, contractual obligations assumed and contingent consideration, where applicable. Although we believe the assumptions and estimates we have made in the past have been reasonable and appropriate, they are based in part on historical experience and information obtained from the management of the acquired companies and are inherently uncertain. Examples of critical estimates in valuing certain of the intangible assets we have acquired include but are not limited to determination of weighted average cost of capital, market participant assumptions, royalty rates, terminal multiples and estimates of future cash flows to be generated by the acquired assets. In addition to the estimates and assumptions applied to valuing intangible assets acquired, the determination of the estimated fair value of contingent consideration, including estimating the likelihood and timing of achieving the relevant thresholds for contingent consideration payments, requires the use of subjective judgments. We estimate the fair value of the Park City contingent consideration payments using an option pricing valuation model which incorporates, among other factors, projected achievement of specified financial performance measures, discounts rates, volatility, credit risk and estimation of the long-term rate of growth for the respective business.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if Actual Results Differ From Assumptions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the estimated fair values assigned to the assets acquired and liabilities assumed are based on reasonable assumptions that a marketplace participant would use. While we use our best estimates and assumptions to accurately value assets acquired and liabilities assumed at the acquisition date our estimates are inherently uncertain and subject to refinement. As a result, during the measurement period, which may be up to one year from the acquisition date, we may record adjustments to the assets acquired and liabilities assumed with the corresponding offset to goodwill. Upon the conclusion of the measurement period or final determination of the estimated fair values of assets acquired or liabilities assumed, whichever comes first, any subsequent adjustments would be recorded in our Consolidated Statements of Operations.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the fair value of contingent consideration at the date of acquisition as part of the consideration transferred to acquire a business. The liability associated with contingent consideration is remeasured to fair value at each reporting period subsequent to the date of acquisition taking into consideration changes in financial projections and long-term growth rates, among other</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171" w:right="239" w:bottom="1440" w:gutter="0" w:footer="0" w:header="0"/>
        </w:sectPr>
      </w:pPr>
    </w:p>
    <w:bookmarkStart w:id="59" w:name="page60"/>
    <w:bookmarkEnd w:id="59"/>
    <w:p>
      <w:pPr>
        <w:jc w:val="both"/>
        <w:spacing w:after="0" w:line="266" w:lineRule="auto"/>
        <w:rPr>
          <w:sz w:val="20"/>
          <w:szCs w:val="20"/>
          <w:color w:val="auto"/>
        </w:rPr>
      </w:pPr>
      <w:r>
        <w:rPr>
          <w:rFonts w:ascii="Times New Roman" w:cs="Times New Roman" w:eastAsia="Times New Roman" w:hAnsi="Times New Roman"/>
          <w:sz w:val="18"/>
          <w:szCs w:val="18"/>
          <w:color w:val="auto"/>
        </w:rPr>
        <w:t>factors, that may impact the timing and amount of contingent consideration payments until the term of the agreement has expired or the contingency is resolved. Increases in the fair value of contingent consideration are recorded as losses in our Consolidated Statements of Operations, while decreases in fair value are recorded as gains.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Note 2, Summary of Significant Accounting Policies, of the Notes to Consolidated Financial Statements for a discussion of new accounting standards.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cannot accurately determine the precise effect of inflation on our operations, management does not believe inflation has had a material effect on the results of operations in the last three fiscal years. When the costs of operating resorts increase, we generally have been able to pass the increase on to our customers. However, there can be no assurance that increases in labor and other operating costs due to inflation will not have an impact on our future profitability.</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2013, we entered into a long-term lease pursuant to which we assumed the operations of Canyons which includes the ski terrain and related amenities. The lease has an initial term of 50 years with six 50-year renewal options. The lease provides for $25.0 million in annual payments, which increase each year by an inflation linked index of CPI less 1%, with a floor of 2% per annum. As lease payments increase annually, there can be no assurance that these increases will be offset by increased cash flow generated from operations at Park City.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Quarterly Results</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mountain and lodging operations are seasonal in nature. In particular, revenue and profits for our North America mountain and most of our lodging operations are substantially lower and historically result in losses from late spring to late fall. Conversely, peak operating seasons for our NPS concessionaire properties, our mountain resort golf courses and Perisher’s ski season occur during the North American summer months while the North American winter months result in operating losses. Revenue and profits generated by NPS concessionaire properties summer operations, golf operations and Perisher’s ski operations are not sufficient to fully offset our off-season losses from our North American mountain and other lodging operations. During Fiscal 2017, 80% of total combined Mountain and Lodging segment net revenue (excluding Lodging segment revenue associated with reimbursement of payroll costs) was earned during the second and third fiscal quarters. Therefore, the operating results for any three-month period are not necessarily indicative of the results that may be achieved for any subsequent quarter or for a full year (see Notes to Consolidated Financial Statements).</w:t>
      </w:r>
    </w:p>
    <w:p>
      <w:pPr>
        <w:spacing w:after="0" w:line="18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Our exposure to market risk is limited primarily to the fluctuating interest rates associated with variable rate indebtedness. At July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2017, we had $937.6 million of variable rate indebtedness, representing approximately 73% of our total debt outstanding, at an average interest rate during Fiscal 2017 of 2.0%. We have entered into interest rate swap agreements to fix the interest rate on a portion of our Canadian-denominated senior credit facility, which has the effect of fixing the underlying floating interest rate on a portion of the principal amount outstanding. Based on variable-rate borrowings outstanding as of July 31, 2017, a 100-basis point (or 1.0%) change in LIBOR would result in our annual interest payments changing by $8.4 million. Our market risk exposure fluctuates based on changes in underlying interest rates.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Foreign Currency Exchange Rate Risk. </w:t>
      </w:r>
      <w:r>
        <w:rPr>
          <w:rFonts w:ascii="Times New Roman" w:cs="Times New Roman" w:eastAsia="Times New Roman" w:hAnsi="Times New Roman"/>
          <w:sz w:val="18"/>
          <w:szCs w:val="18"/>
          <w:color w:val="auto"/>
        </w:rPr>
        <w:t>We are exposed to currency translation risk because the results of our international entities are reported in local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which we then translate to U.S. dollars for inclusion in our consolidated financial statements. As a result, changes between the foreign exchange rates, in particular the Canadian dollar and Australian dollar compared to the U.S. dollar, affect the amounts we record for our foreign assets, liabilities, revenues and expenses, and could have a negative effect on our financial results. Additionally, we have foreign currency transaction exposure from an intercompany loan to Whistler Blackcomb that is not deemed to be permanently invested, which has and could materially change due to fluctuations in the Canadian dollar exchange rate. The results of Whistler Blackcomb and Perisher are reported in Canadian dollars and Australian dollars respectively, which we then translate to U.S. dollars for inclusion in our consolidated financial statements. We do not currently enter into hedging arrangements to minimize the impact of foreign currency fluctuations on our operations.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094" w:right="239" w:bottom="1440" w:gutter="0" w:footer="0" w:header="0"/>
        </w:sectPr>
      </w:pPr>
    </w:p>
    <w:bookmarkStart w:id="60" w:name="page61"/>
    <w:bookmarkEnd w:id="60"/>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amounts of foreign currency translation adjustments, net of tax, representing gains, and foreign currency gain on intercompany loans recognized, in comprehensive income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July 31,</w:t>
            </w:r>
          </w:p>
        </w:tc>
        <w:tc>
          <w:tcPr>
            <w:tcW w:w="140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3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2017</w:t>
            </w: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50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adjustments and other, net of tax</w:t>
            </w:r>
          </w:p>
        </w:tc>
        <w:tc>
          <w:tcPr>
            <w:tcW w:w="3240" w:type="dxa"/>
            <w:vAlign w:val="bottom"/>
            <w:tcBorders>
              <w:bottom w:val="single" w:sz="8" w:color="CCEEFF"/>
            </w:tcBorders>
            <w:gridSpan w:val="2"/>
            <w:shd w:val="clear" w:color="auto" w:fill="CCEEFF"/>
          </w:tcPr>
          <w:p>
            <w:pPr>
              <w:jc w:val="right"/>
              <w:ind w:right="1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64,152</w:t>
            </w:r>
          </w:p>
        </w:tc>
        <w:tc>
          <w:tcPr>
            <w:tcW w:w="92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3,363</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gain on intercompany loans</w:t>
            </w:r>
          </w:p>
        </w:tc>
        <w:tc>
          <w:tcPr>
            <w:tcW w:w="3240" w:type="dxa"/>
            <w:vAlign w:val="bottom"/>
            <w:gridSpan w:val="2"/>
          </w:tcPr>
          <w:p>
            <w:pPr>
              <w:jc w:val="right"/>
              <w:ind w:right="1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15,285</w:t>
            </w:r>
          </w:p>
        </w:tc>
        <w:tc>
          <w:tcPr>
            <w:tcW w:w="92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669"/>
        </w:trPr>
        <w:tc>
          <w:tcPr>
            <w:tcW w:w="5040" w:type="dxa"/>
            <w:vAlign w:val="bottom"/>
          </w:tcPr>
          <w:p>
            <w:pPr>
              <w:spacing w:after="0"/>
              <w:rPr>
                <w:sz w:val="24"/>
                <w:szCs w:val="24"/>
                <w:color w:val="auto"/>
              </w:rPr>
            </w:pPr>
          </w:p>
        </w:tc>
        <w:tc>
          <w:tcPr>
            <w:tcW w:w="18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59</w:t>
            </w: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1013" w:right="239" w:bottom="1440" w:gutter="0" w:footer="0" w:header="0"/>
        </w:sectPr>
      </w:pPr>
    </w:p>
    <w:bookmarkStart w:id="61" w:name="page62"/>
    <w:bookmarkEnd w:id="6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Financial Statements for the Years Ended July 31, 2017, 2016 and 2015</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gridSpan w:val="11"/>
          </w:tcPr>
          <w:p>
            <w:pPr>
              <w:ind w:left="40"/>
              <w:spacing w:after="0"/>
              <w:rPr>
                <w:rFonts w:ascii="Times New Roman" w:cs="Times New Roman" w:eastAsia="Times New Roman" w:hAnsi="Times New Roman"/>
                <w:sz w:val="18"/>
                <w:szCs w:val="18"/>
                <w:i w:val="1"/>
                <w:iCs w:val="1"/>
                <w:color w:val="0000FF"/>
              </w:rPr>
            </w:pPr>
            <w:hyperlink w:anchor="page63">
              <w:r>
                <w:rPr>
                  <w:rFonts w:ascii="Times New Roman" w:cs="Times New Roman" w:eastAsia="Times New Roman" w:hAnsi="Times New Roman"/>
                  <w:sz w:val="18"/>
                  <w:szCs w:val="18"/>
                  <w:i w:val="1"/>
                  <w:iCs w:val="1"/>
                  <w:color w:val="0000FF"/>
                </w:rPr>
                <w:t>Management’s Report on Internal Control Over Financial Reporting</w:t>
              </w:r>
            </w:hyperlink>
          </w:p>
        </w:tc>
        <w:tc>
          <w:tcPr>
            <w:tcW w:w="6120" w:type="dxa"/>
            <w:vAlign w:val="bottom"/>
            <w:gridSpan w:val="3"/>
          </w:tcPr>
          <w:p>
            <w:pPr>
              <w:jc w:val="right"/>
              <w:ind w:right="20"/>
              <w:spacing w:after="0"/>
              <w:rPr>
                <w:rFonts w:ascii="Times New Roman" w:cs="Times New Roman" w:eastAsia="Times New Roman" w:hAnsi="Times New Roman"/>
                <w:sz w:val="18"/>
                <w:szCs w:val="18"/>
                <w:color w:val="0000FF"/>
              </w:rPr>
            </w:pPr>
            <w:hyperlink w:anchor="page63">
              <w:r>
                <w:rPr>
                  <w:rFonts w:ascii="Times New Roman" w:cs="Times New Roman" w:eastAsia="Times New Roman" w:hAnsi="Times New Roman"/>
                  <w:sz w:val="18"/>
                  <w:szCs w:val="18"/>
                  <w:color w:val="0000FF"/>
                </w:rPr>
                <w:t>61</w:t>
              </w:r>
            </w:hyperlink>
          </w:p>
        </w:tc>
      </w:tr>
      <w:tr>
        <w:trPr>
          <w:trHeight w:val="48"/>
        </w:trPr>
        <w:tc>
          <w:tcPr>
            <w:tcW w:w="4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59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9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300" w:type="dxa"/>
            <w:vAlign w:val="bottom"/>
            <w:gridSpan w:val="11"/>
          </w:tcPr>
          <w:p>
            <w:pPr>
              <w:ind w:left="40"/>
              <w:spacing w:after="0" w:line="202" w:lineRule="exact"/>
              <w:rPr>
                <w:rFonts w:ascii="Times New Roman" w:cs="Times New Roman" w:eastAsia="Times New Roman" w:hAnsi="Times New Roman"/>
                <w:sz w:val="18"/>
                <w:szCs w:val="18"/>
                <w:i w:val="1"/>
                <w:iCs w:val="1"/>
                <w:color w:val="0000FF"/>
              </w:rPr>
            </w:pPr>
            <w:hyperlink w:anchor="page64">
              <w:r>
                <w:rPr>
                  <w:rFonts w:ascii="Times New Roman" w:cs="Times New Roman" w:eastAsia="Times New Roman" w:hAnsi="Times New Roman"/>
                  <w:sz w:val="18"/>
                  <w:szCs w:val="18"/>
                  <w:i w:val="1"/>
                  <w:iCs w:val="1"/>
                  <w:color w:val="0000FF"/>
                </w:rPr>
                <w:t>Report of Independent Registered Public Accounting Firm</w:t>
              </w:r>
            </w:hyperlink>
          </w:p>
        </w:tc>
        <w:tc>
          <w:tcPr>
            <w:tcW w:w="6120" w:type="dxa"/>
            <w:vAlign w:val="bottom"/>
            <w:gridSpan w:val="3"/>
          </w:tcPr>
          <w:p>
            <w:pPr>
              <w:jc w:val="right"/>
              <w:ind w:right="20"/>
              <w:spacing w:after="0" w:line="202" w:lineRule="exact"/>
              <w:rPr>
                <w:rFonts w:ascii="Times New Roman" w:cs="Times New Roman" w:eastAsia="Times New Roman" w:hAnsi="Times New Roman"/>
                <w:sz w:val="18"/>
                <w:szCs w:val="18"/>
                <w:color w:val="0000FF"/>
              </w:rPr>
            </w:pPr>
            <w:hyperlink w:anchor="page64">
              <w:r>
                <w:rPr>
                  <w:rFonts w:ascii="Times New Roman" w:cs="Times New Roman" w:eastAsia="Times New Roman" w:hAnsi="Times New Roman"/>
                  <w:sz w:val="18"/>
                  <w:szCs w:val="18"/>
                  <w:color w:val="0000FF"/>
                </w:rPr>
                <w:t>62</w:t>
              </w:r>
            </w:hyperlink>
          </w:p>
        </w:tc>
      </w:tr>
      <w:tr>
        <w:trPr>
          <w:trHeight w:val="48"/>
        </w:trPr>
        <w:tc>
          <w:tcPr>
            <w:tcW w:w="4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9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9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5300" w:type="dxa"/>
            <w:vAlign w:val="bottom"/>
            <w:gridSpan w:val="11"/>
          </w:tcPr>
          <w:p>
            <w:pPr>
              <w:ind w:left="40"/>
              <w:spacing w:after="0"/>
              <w:rPr>
                <w:sz w:val="20"/>
                <w:szCs w:val="20"/>
                <w:color w:val="auto"/>
              </w:rPr>
            </w:pPr>
            <w:r>
              <w:rPr>
                <w:rFonts w:ascii="Times New Roman" w:cs="Times New Roman" w:eastAsia="Times New Roman" w:hAnsi="Times New Roman"/>
                <w:sz w:val="18"/>
                <w:szCs w:val="18"/>
                <w:i w:val="1"/>
                <w:iCs w:val="1"/>
                <w:color w:val="auto"/>
              </w:rPr>
              <w:t>Consolidated Financial Statements</w:t>
            </w:r>
          </w:p>
        </w:tc>
        <w:tc>
          <w:tcPr>
            <w:tcW w:w="5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line="202" w:lineRule="exact"/>
              <w:rPr>
                <w:rFonts w:ascii="Times New Roman" w:cs="Times New Roman" w:eastAsia="Times New Roman" w:hAnsi="Times New Roman"/>
                <w:sz w:val="18"/>
                <w:szCs w:val="18"/>
                <w:color w:val="0000FF"/>
                <w:w w:val="98"/>
              </w:rPr>
            </w:pPr>
            <w:hyperlink w:anchor="page65">
              <w:r>
                <w:rPr>
                  <w:rFonts w:ascii="Times New Roman" w:cs="Times New Roman" w:eastAsia="Times New Roman" w:hAnsi="Times New Roman"/>
                  <w:sz w:val="18"/>
                  <w:szCs w:val="18"/>
                  <w:color w:val="0000FF"/>
                  <w:w w:val="98"/>
                </w:rPr>
                <w:t>Consolidated Balance Sheets</w:t>
              </w:r>
            </w:hyperlink>
          </w:p>
        </w:tc>
        <w:tc>
          <w:tcPr>
            <w:tcW w:w="3040" w:type="dxa"/>
            <w:vAlign w:val="bottom"/>
            <w:gridSpan w:val="8"/>
            <w:shd w:val="clear" w:color="auto" w:fill="CCEEFF"/>
          </w:tcPr>
          <w:p>
            <w:pPr>
              <w:spacing w:after="0"/>
              <w:rPr>
                <w:sz w:val="17"/>
                <w:szCs w:val="17"/>
                <w:color w:val="auto"/>
              </w:rPr>
            </w:pPr>
          </w:p>
        </w:tc>
        <w:tc>
          <w:tcPr>
            <w:tcW w:w="612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65">
              <w:r>
                <w:rPr>
                  <w:rFonts w:ascii="Times New Roman" w:cs="Times New Roman" w:eastAsia="Times New Roman" w:hAnsi="Times New Roman"/>
                  <w:sz w:val="18"/>
                  <w:szCs w:val="18"/>
                  <w:color w:val="0000FF"/>
                </w:rPr>
                <w:t>63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59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gridSpan w:val="9"/>
          </w:tcPr>
          <w:p>
            <w:pPr>
              <w:spacing w:after="0" w:line="202" w:lineRule="exact"/>
              <w:rPr>
                <w:rFonts w:ascii="Times New Roman" w:cs="Times New Roman" w:eastAsia="Times New Roman" w:hAnsi="Times New Roman"/>
                <w:sz w:val="18"/>
                <w:szCs w:val="18"/>
                <w:color w:val="0000FF"/>
              </w:rPr>
            </w:pPr>
            <w:hyperlink w:anchor="page66">
              <w:r>
                <w:rPr>
                  <w:rFonts w:ascii="Times New Roman" w:cs="Times New Roman" w:eastAsia="Times New Roman" w:hAnsi="Times New Roman"/>
                  <w:sz w:val="18"/>
                  <w:szCs w:val="18"/>
                  <w:color w:val="0000FF"/>
                </w:rPr>
                <w:t>Consolidated Statements of Operations</w:t>
              </w:r>
            </w:hyperlink>
          </w:p>
        </w:tc>
        <w:tc>
          <w:tcPr>
            <w:tcW w:w="6120" w:type="dxa"/>
            <w:vAlign w:val="bottom"/>
            <w:gridSpan w:val="3"/>
          </w:tcPr>
          <w:p>
            <w:pPr>
              <w:jc w:val="right"/>
              <w:ind w:right="20"/>
              <w:spacing w:after="0" w:line="202" w:lineRule="exact"/>
              <w:rPr>
                <w:rFonts w:ascii="Times New Roman" w:cs="Times New Roman" w:eastAsia="Times New Roman" w:hAnsi="Times New Roman"/>
                <w:sz w:val="18"/>
                <w:szCs w:val="18"/>
                <w:color w:val="0000FF"/>
              </w:rPr>
            </w:pPr>
            <w:hyperlink w:anchor="page66">
              <w:r>
                <w:rPr>
                  <w:rFonts w:ascii="Times New Roman" w:cs="Times New Roman" w:eastAsia="Times New Roman" w:hAnsi="Times New Roman"/>
                  <w:sz w:val="18"/>
                  <w:szCs w:val="18"/>
                  <w:color w:val="0000FF"/>
                </w:rPr>
                <w:t>64</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9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120" w:type="dxa"/>
            <w:vAlign w:val="bottom"/>
            <w:gridSpan w:val="9"/>
            <w:shd w:val="clear" w:color="auto" w:fill="CCEEFF"/>
          </w:tcPr>
          <w:p>
            <w:pPr>
              <w:spacing w:after="0" w:line="202" w:lineRule="exact"/>
              <w:rPr>
                <w:rFonts w:ascii="Times New Roman" w:cs="Times New Roman" w:eastAsia="Times New Roman" w:hAnsi="Times New Roman"/>
                <w:sz w:val="18"/>
                <w:szCs w:val="18"/>
                <w:color w:val="0000FF"/>
              </w:rPr>
            </w:pPr>
            <w:hyperlink w:anchor="page67">
              <w:r>
                <w:rPr>
                  <w:rFonts w:ascii="Times New Roman" w:cs="Times New Roman" w:eastAsia="Times New Roman" w:hAnsi="Times New Roman"/>
                  <w:sz w:val="18"/>
                  <w:szCs w:val="18"/>
                  <w:color w:val="0000FF"/>
                </w:rPr>
                <w:t>Consolidated Statements of Comprehensive Income</w:t>
              </w:r>
            </w:hyperlink>
          </w:p>
        </w:tc>
        <w:tc>
          <w:tcPr>
            <w:tcW w:w="612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67">
              <w:r>
                <w:rPr>
                  <w:rFonts w:ascii="Times New Roman" w:cs="Times New Roman" w:eastAsia="Times New Roman" w:hAnsi="Times New Roman"/>
                  <w:sz w:val="18"/>
                  <w:szCs w:val="18"/>
                  <w:color w:val="0000FF"/>
                </w:rPr>
                <w:t>65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59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20" w:type="dxa"/>
            <w:vAlign w:val="bottom"/>
            <w:gridSpan w:val="6"/>
          </w:tcPr>
          <w:p>
            <w:pPr>
              <w:spacing w:after="0" w:line="202" w:lineRule="exact"/>
              <w:rPr>
                <w:rFonts w:ascii="Times New Roman" w:cs="Times New Roman" w:eastAsia="Times New Roman" w:hAnsi="Times New Roman"/>
                <w:sz w:val="18"/>
                <w:szCs w:val="18"/>
                <w:color w:val="0000FF"/>
              </w:rPr>
            </w:pPr>
            <w:hyperlink w:anchor="page68">
              <w:r>
                <w:rPr>
                  <w:rFonts w:ascii="Times New Roman" w:cs="Times New Roman" w:eastAsia="Times New Roman" w:hAnsi="Times New Roman"/>
                  <w:sz w:val="18"/>
                  <w:szCs w:val="18"/>
                  <w:color w:val="0000FF"/>
                </w:rPr>
                <w:t>Consolidated Statements of Stockholders’ Equity</w:t>
              </w:r>
            </w:hyperlink>
          </w:p>
        </w:tc>
        <w:tc>
          <w:tcPr>
            <w:tcW w:w="1400" w:type="dxa"/>
            <w:vAlign w:val="bottom"/>
            <w:gridSpan w:val="3"/>
          </w:tcPr>
          <w:p>
            <w:pPr>
              <w:spacing w:after="0"/>
              <w:rPr>
                <w:sz w:val="17"/>
                <w:szCs w:val="17"/>
                <w:color w:val="auto"/>
              </w:rPr>
            </w:pPr>
          </w:p>
        </w:tc>
        <w:tc>
          <w:tcPr>
            <w:tcW w:w="6120" w:type="dxa"/>
            <w:vAlign w:val="bottom"/>
            <w:gridSpan w:val="3"/>
          </w:tcPr>
          <w:p>
            <w:pPr>
              <w:jc w:val="right"/>
              <w:ind w:right="20"/>
              <w:spacing w:after="0" w:line="202" w:lineRule="exact"/>
              <w:rPr>
                <w:rFonts w:ascii="Times New Roman" w:cs="Times New Roman" w:eastAsia="Times New Roman" w:hAnsi="Times New Roman"/>
                <w:sz w:val="18"/>
                <w:szCs w:val="18"/>
                <w:color w:val="0000FF"/>
              </w:rPr>
            </w:pPr>
            <w:hyperlink w:anchor="page68">
              <w:r>
                <w:rPr>
                  <w:rFonts w:ascii="Times New Roman" w:cs="Times New Roman" w:eastAsia="Times New Roman" w:hAnsi="Times New Roman"/>
                  <w:sz w:val="18"/>
                  <w:szCs w:val="18"/>
                  <w:color w:val="0000FF"/>
                </w:rPr>
                <w:t>66</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9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60" w:type="dxa"/>
            <w:vAlign w:val="bottom"/>
            <w:gridSpan w:val="3"/>
            <w:shd w:val="clear" w:color="auto" w:fill="CCEEFF"/>
          </w:tcPr>
          <w:p>
            <w:pPr>
              <w:spacing w:after="0" w:line="202" w:lineRule="exact"/>
              <w:rPr>
                <w:rFonts w:ascii="Times New Roman" w:cs="Times New Roman" w:eastAsia="Times New Roman" w:hAnsi="Times New Roman"/>
                <w:sz w:val="18"/>
                <w:szCs w:val="18"/>
                <w:color w:val="0000FF"/>
                <w:w w:val="98"/>
              </w:rPr>
            </w:pPr>
            <w:hyperlink w:anchor="page69">
              <w:r>
                <w:rPr>
                  <w:rFonts w:ascii="Times New Roman" w:cs="Times New Roman" w:eastAsia="Times New Roman" w:hAnsi="Times New Roman"/>
                  <w:sz w:val="18"/>
                  <w:szCs w:val="18"/>
                  <w:color w:val="0000FF"/>
                  <w:w w:val="98"/>
                </w:rPr>
                <w:t>Consolidated Statements of Cash Flows</w:t>
              </w:r>
            </w:hyperlink>
          </w:p>
        </w:tc>
        <w:tc>
          <w:tcPr>
            <w:tcW w:w="2260" w:type="dxa"/>
            <w:vAlign w:val="bottom"/>
            <w:gridSpan w:val="6"/>
            <w:shd w:val="clear" w:color="auto" w:fill="CCEEFF"/>
          </w:tcPr>
          <w:p>
            <w:pPr>
              <w:spacing w:after="0"/>
              <w:rPr>
                <w:sz w:val="17"/>
                <w:szCs w:val="17"/>
                <w:color w:val="auto"/>
              </w:rPr>
            </w:pPr>
          </w:p>
        </w:tc>
        <w:tc>
          <w:tcPr>
            <w:tcW w:w="612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69">
              <w:r>
                <w:rPr>
                  <w:rFonts w:ascii="Times New Roman" w:cs="Times New Roman" w:eastAsia="Times New Roman" w:hAnsi="Times New Roman"/>
                  <w:sz w:val="18"/>
                  <w:szCs w:val="18"/>
                  <w:color w:val="0000FF"/>
                </w:rPr>
                <w:t>67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59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gridSpan w:val="9"/>
          </w:tcPr>
          <w:p>
            <w:pPr>
              <w:spacing w:after="0" w:line="202" w:lineRule="exact"/>
              <w:rPr>
                <w:rFonts w:ascii="Times New Roman" w:cs="Times New Roman" w:eastAsia="Times New Roman" w:hAnsi="Times New Roman"/>
                <w:sz w:val="18"/>
                <w:szCs w:val="18"/>
                <w:color w:val="0000FF"/>
              </w:rPr>
            </w:pPr>
            <w:hyperlink w:anchor="page70">
              <w:r>
                <w:rPr>
                  <w:rFonts w:ascii="Times New Roman" w:cs="Times New Roman" w:eastAsia="Times New Roman" w:hAnsi="Times New Roman"/>
                  <w:sz w:val="18"/>
                  <w:szCs w:val="18"/>
                  <w:color w:val="0000FF"/>
                </w:rPr>
                <w:t>Notes to Consolidated Financial Statements</w:t>
              </w:r>
            </w:hyperlink>
          </w:p>
        </w:tc>
        <w:tc>
          <w:tcPr>
            <w:tcW w:w="6120" w:type="dxa"/>
            <w:vAlign w:val="bottom"/>
            <w:gridSpan w:val="3"/>
          </w:tcPr>
          <w:p>
            <w:pPr>
              <w:jc w:val="right"/>
              <w:ind w:right="20"/>
              <w:spacing w:after="0" w:line="202" w:lineRule="exact"/>
              <w:rPr>
                <w:rFonts w:ascii="Times New Roman" w:cs="Times New Roman" w:eastAsia="Times New Roman" w:hAnsi="Times New Roman"/>
                <w:sz w:val="18"/>
                <w:szCs w:val="18"/>
                <w:color w:val="0000FF"/>
              </w:rPr>
            </w:pPr>
            <w:hyperlink w:anchor="page70">
              <w:r>
                <w:rPr>
                  <w:rFonts w:ascii="Times New Roman" w:cs="Times New Roman" w:eastAsia="Times New Roman" w:hAnsi="Times New Roman"/>
                  <w:sz w:val="18"/>
                  <w:szCs w:val="18"/>
                  <w:color w:val="0000FF"/>
                </w:rPr>
                <w:t>68</w:t>
              </w:r>
            </w:hyperlink>
          </w:p>
        </w:tc>
      </w:tr>
      <w:tr>
        <w:trPr>
          <w:trHeight w:val="507"/>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920" w:type="dxa"/>
            <w:vAlign w:val="bottom"/>
          </w:tcPr>
          <w:p>
            <w:pPr>
              <w:jc w:val="right"/>
              <w:ind w:right="533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009"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of Vail Resorts, Inc. (the “Company”) is responsible for establishing and maintaining adequate internal control over financial reporting, as such term is defined in Rules 13a-15(f) and 15d-15(f) of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Management, including the Company’s Chief Executive Officer and Chief Financial Officer, assessed the effectiveness of the Company’s internal control over financial reporting as of July 31, 2017. In making this assessment, management used the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in 2013. Based on this assessment, management concluded that, as of July 31, 2017, the Company’s internal control over financial reporting was effective. Management’s evaluation and conclusion on the effectiveness of internal control over financial reporting as of July 31, 2017 excluded certain elements of internal controls of Whistler Blackcomb and Stowe due to the timing of these acquisitions, which were completed in October 2016 and June 2017, respectively. </w:t>
      </w:r>
      <w:r>
        <w:rPr>
          <w:rFonts w:ascii="Times New Roman" w:cs="Times New Roman" w:eastAsia="Times New Roman" w:hAnsi="Times New Roman"/>
          <w:sz w:val="18"/>
          <w:szCs w:val="18"/>
          <w:color w:val="222222"/>
        </w:rPr>
        <w:t>Those elements of Whistler Blackcomb’s and Stowe’s internal controls 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financial reporting that have been excluded represent less than 1% </w:t>
      </w:r>
      <w:r>
        <w:rPr>
          <w:rFonts w:ascii="Times New Roman" w:cs="Times New Roman" w:eastAsia="Times New Roman" w:hAnsi="Times New Roman"/>
          <w:sz w:val="18"/>
          <w:szCs w:val="18"/>
          <w:color w:val="000000"/>
        </w:rPr>
        <w:t>of total consolidated assets and approximately 14% of total consolidated net revenues</w:t>
      </w:r>
      <w:r>
        <w:rPr>
          <w:rFonts w:ascii="Times New Roman" w:cs="Times New Roman" w:eastAsia="Times New Roman" w:hAnsi="Times New Roman"/>
          <w:sz w:val="18"/>
          <w:szCs w:val="18"/>
          <w:color w:val="222222"/>
        </w:rPr>
        <w:t xml:space="preserve"> of the Company as of and for the year ended July 31, 2017.</w:t>
      </w:r>
    </w:p>
    <w:p>
      <w:pPr>
        <w:spacing w:after="0" w:line="1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PricewaterhouseCoopers LLP, has issued an attestation report on the effectiveness of the Company’s internal control over financial reporting as of July 31, 2017, as stated in the Report of Independent Registered Public Accounting Firm on the following page.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009"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Vail Resorts, Inc.</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our opinion, the accompanying consolidated balance sheets and the related consolidated statements of operations, of comprehensive income, of stockholders’ equity and of cash flows present fairly, in all material respects, the financial position of Vail Resorts, Inc. and its subsidiaries as of July 31, 2017 and 2016, and the results of their operations and their cash flows for each of the three years in the period ended July 31, 2017 in conformity with accounting principles generally accepted in the United States of America. Also in our opinion, the Company maintained, in all material respects, effective internal control over financial reporting as of July 31, 2017,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22222"/>
        </w:rPr>
        <w:t xml:space="preserve">As described in Management's Report on Internal Control over Financial Reporting, management has excluded certain elements of the internal control over financial reporting of Whistler Blackcomb and Stowe from its assessment of internal control over financial reporting as of July 31, 2017, because they were acquired by the Company in purchase business combinations in October of 2016 and June of 2017, respectively. Subsequent to the acquisitions, certain elements of Whistler Blackcomb’s and Stowe’s internal control over financial reporting and related processes were integrated into the Company’s existing systems and internal control over financial reporting. Those controls that were not integrated have been excluded from management’s assessment of the effectiveness of internal control over financial reporting as of July 31, 2017. We have also excluded these elements of the internal control over financial reporting of Whistler Blackcomb and Stowe from our audit of the Company’s internal control over financial reporting. The excluded elements represent controls of less than 1% </w:t>
      </w:r>
      <w:r>
        <w:rPr>
          <w:rFonts w:ascii="Times New Roman" w:cs="Times New Roman" w:eastAsia="Times New Roman" w:hAnsi="Times New Roman"/>
          <w:sz w:val="18"/>
          <w:szCs w:val="18"/>
          <w:color w:val="000000"/>
        </w:rPr>
        <w:t>of consolidated assets and approximately 14% of consolidated revenues</w:t>
      </w:r>
      <w:r>
        <w:rPr>
          <w:rFonts w:ascii="Times New Roman" w:cs="Times New Roman" w:eastAsia="Times New Roman" w:hAnsi="Times New Roman"/>
          <w:sz w:val="18"/>
          <w:szCs w:val="18"/>
          <w:color w:val="222222"/>
        </w:rPr>
        <w: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27, 2017</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009" w:right="2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1300" w:type="dxa"/>
            <w:vAlign w:val="bottom"/>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540" w:type="dxa"/>
            <w:vAlign w:val="bottom"/>
          </w:tcPr>
          <w:p>
            <w:pPr>
              <w:spacing w:after="0"/>
              <w:rPr>
                <w:sz w:val="20"/>
                <w:szCs w:val="20"/>
                <w:color w:val="auto"/>
              </w:rPr>
            </w:pPr>
          </w:p>
        </w:tc>
        <w:tc>
          <w:tcPr>
            <w:tcW w:w="13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117,389</w:t>
            </w:r>
          </w:p>
        </w:tc>
        <w:tc>
          <w:tcPr>
            <w:tcW w:w="5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67,897</w:t>
            </w: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10,273</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6,046</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allowances of $750 and $616, respectively</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186,913</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147,113</w:t>
            </w: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net of reserves of $1,518 and $1,713, respectively</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84,814</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74,589</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33,681</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27,220</w:t>
            </w:r>
          </w:p>
        </w:tc>
      </w:tr>
      <w:tr>
        <w:trPr>
          <w:trHeight w:val="237"/>
        </w:trPr>
        <w:tc>
          <w:tcPr>
            <w:tcW w:w="77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433,070</w:t>
            </w:r>
          </w:p>
        </w:tc>
        <w:tc>
          <w:tcPr>
            <w:tcW w:w="5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322,865</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 (Note 6)</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1,714,154</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1,363,814</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 held for sale and investment</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103,405</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111,088</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45,414</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35,207</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 net (Note 6)</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1,519,743</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509,037</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net (Note 6)</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294,932</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140,007</w:t>
            </w:r>
          </w:p>
        </w:tc>
      </w:tr>
      <w:tr>
        <w:trPr>
          <w:trHeight w:val="237"/>
        </w:trPr>
        <w:tc>
          <w:tcPr>
            <w:tcW w:w="77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4,110,718</w:t>
            </w:r>
          </w:p>
        </w:tc>
        <w:tc>
          <w:tcPr>
            <w:tcW w:w="5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2,482,018</w:t>
            </w:r>
          </w:p>
        </w:tc>
      </w:tr>
      <w:tr>
        <w:trPr>
          <w:trHeight w:val="34"/>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 (Note 6)</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467,669</w:t>
            </w:r>
          </w:p>
        </w:tc>
        <w:tc>
          <w:tcPr>
            <w:tcW w:w="5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397,488</w:t>
            </w: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98,491</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95,639</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due within one year (Note 4)</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38,397</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13,354</w:t>
            </w:r>
          </w:p>
        </w:tc>
      </w:tr>
      <w:tr>
        <w:trPr>
          <w:trHeight w:val="237"/>
        </w:trPr>
        <w:tc>
          <w:tcPr>
            <w:tcW w:w="77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604,557</w:t>
            </w:r>
          </w:p>
        </w:tc>
        <w:tc>
          <w:tcPr>
            <w:tcW w:w="5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506,481</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net (Note 4)</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1,234,024</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686,909</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 (Note 6)</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301,736</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270,168</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 (Note 9)</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171,442</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129,994</w:t>
            </w:r>
          </w:p>
        </w:tc>
      </w:tr>
      <w:tr>
        <w:trPr>
          <w:trHeight w:val="237"/>
        </w:trPr>
        <w:tc>
          <w:tcPr>
            <w:tcW w:w="77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2,311,759</w:t>
            </w:r>
          </w:p>
        </w:tc>
        <w:tc>
          <w:tcPr>
            <w:tcW w:w="5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1,593,552</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$0.01 par value, 25,000 shares authorized, no shares issued and outstanding</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$0.01 par value, 100,000 shares authorized and 45,448 and 41,614 shares issued,</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4"/>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42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454</w:t>
            </w:r>
          </w:p>
        </w:tc>
        <w:tc>
          <w:tcPr>
            <w:tcW w:w="5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416</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Exchangeable shares, $0.01 par value, 69 and zero shares issued and outstanding, respectively (Note 5)</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1,222,510</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635,986</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44,395</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550,985</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486,667</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 5,436 and 5,435 shares, respectively (Note 14)</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(247,189)</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(246,979)</w:t>
            </w:r>
          </w:p>
        </w:tc>
      </w:tr>
      <w:tr>
        <w:trPr>
          <w:trHeight w:val="237"/>
        </w:trPr>
        <w:tc>
          <w:tcPr>
            <w:tcW w:w="778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Total Vail Resorts, Inc. stockholders’ equity</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1,571,156</w:t>
            </w:r>
          </w:p>
        </w:tc>
        <w:tc>
          <w:tcPr>
            <w:tcW w:w="5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874,540</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227,803</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13,926</w:t>
            </w:r>
          </w:p>
        </w:tc>
      </w:tr>
      <w:tr>
        <w:trPr>
          <w:trHeight w:val="237"/>
        </w:trPr>
        <w:tc>
          <w:tcPr>
            <w:tcW w:w="778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1,798,959</w:t>
            </w:r>
          </w:p>
        </w:tc>
        <w:tc>
          <w:tcPr>
            <w:tcW w:w="5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888,466</w:t>
            </w:r>
          </w:p>
        </w:tc>
      </w:tr>
      <w:tr>
        <w:trPr>
          <w:trHeight w:val="27"/>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4,110,718</w:t>
            </w:r>
          </w:p>
        </w:tc>
        <w:tc>
          <w:tcPr>
            <w:tcW w:w="5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2,482,018</w:t>
            </w:r>
          </w:p>
        </w:tc>
      </w:tr>
      <w:tr>
        <w:trPr>
          <w:trHeight w:val="27"/>
        </w:trPr>
        <w:tc>
          <w:tcPr>
            <w:tcW w:w="77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420"/>
          </w:cols>
          <w:pgMar w:left="240" w:top="100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009" w:right="239" w:bottom="1440"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Year Ended July 31,</w:t>
            </w: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20"/>
                <w:szCs w:val="20"/>
                <w:color w:val="auto"/>
              </w:rPr>
            </w:pPr>
          </w:p>
        </w:tc>
        <w:tc>
          <w:tcPr>
            <w:tcW w:w="16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4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Mountain and Lodging services and other</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1,477,654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1,228,716</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1,044,599</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Mountain and Lodging retail and dining</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412,646</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350,442</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313,983</w:t>
            </w:r>
          </w:p>
        </w:tc>
      </w:tr>
      <w:tr>
        <w:trPr>
          <w:trHeight w:val="237"/>
        </w:trPr>
        <w:tc>
          <w:tcPr>
            <w:tcW w:w="596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Resort net revenue</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1,890,300</w:t>
            </w: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1,579,158</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1,358,582</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16,918</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22,128</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41,342</w:t>
            </w:r>
          </w:p>
        </w:tc>
      </w:tr>
      <w:tr>
        <w:trPr>
          <w:trHeight w:val="237"/>
        </w:trPr>
        <w:tc>
          <w:tcPr>
            <w:tcW w:w="596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Total net revenue</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1,907,218</w:t>
            </w: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1,601,286</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1,399,924</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5"/>
        </w:trPr>
        <w:tc>
          <w:tcPr>
            <w:tcW w:w="5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 (exclusive of depreciation and amortization shown separately</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1"/>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below):</w:t>
            </w:r>
          </w:p>
        </w:tc>
        <w:tc>
          <w:tcPr>
            <w:tcW w:w="4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Mountain and Lodging operating expense</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891,135</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775,590</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697,111</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Mountain and Lodging retail and dining cost of products sold</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170,824</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143,276</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133,160</w:t>
            </w:r>
          </w:p>
        </w:tc>
      </w:tr>
      <w:tr>
        <w:trPr>
          <w:trHeight w:val="243"/>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236,799</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208,991</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179,753</w:t>
            </w: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Resort operating expense</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1,298,758</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1,127,857</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1,010,024</w:t>
            </w:r>
          </w:p>
        </w:tc>
      </w:tr>
      <w:tr>
        <w:trPr>
          <w:trHeight w:val="243"/>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24,083</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24,639</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48,408</w:t>
            </w: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segment operating expense</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1,322,841</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1,152,496</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1,058,432</w:t>
            </w: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operating (expense) income:</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(189,157)</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(161,488)</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(149,123)</w:t>
            </w:r>
          </w:p>
        </w:tc>
      </w:tr>
      <w:tr>
        <w:trPr>
          <w:trHeight w:val="243"/>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 of real property</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6,766</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5,295</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litigation settlement (Note 5)</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16,400</w:t>
            </w:r>
          </w:p>
        </w:tc>
      </w:tr>
      <w:tr>
        <w:trPr>
          <w:trHeight w:val="243"/>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 (Note 8)</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(16,300)</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3,650</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disposal of fixed assets and other, net</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r>
      <w:tr>
        <w:trPr>
          <w:trHeight w:val="237"/>
        </w:trPr>
        <w:tc>
          <w:tcPr>
            <w:tcW w:w="59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379,256</w:t>
            </w: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282,979</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210,513</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Mountain equity investment income, net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1,883</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1,283</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822</w:t>
            </w: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income and other, net</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6,114</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723</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gain on intercompany loans (Note 4)</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15,285</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(54,089)</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(42,366)</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(51,241)</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on extinguishment of debt (Note 4)</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(11,012)</w:t>
            </w:r>
          </w:p>
        </w:tc>
      </w:tr>
      <w:tr>
        <w:trPr>
          <w:trHeight w:val="237"/>
        </w:trPr>
        <w:tc>
          <w:tcPr>
            <w:tcW w:w="59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348,449</w:t>
            </w: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242,619</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149,328</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 (Note 9)</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(116,731)</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(93,165)</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(34,718)</w:t>
            </w:r>
          </w:p>
        </w:tc>
      </w:tr>
      <w:tr>
        <w:trPr>
          <w:trHeight w:val="237"/>
        </w:trPr>
        <w:tc>
          <w:tcPr>
            <w:tcW w:w="59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231,718</w:t>
            </w: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149,454</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114,610</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(21,165)</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r>
      <w:tr>
        <w:trPr>
          <w:trHeight w:val="237"/>
        </w:trPr>
        <w:tc>
          <w:tcPr>
            <w:tcW w:w="59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210,553</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149,754</w:t>
            </w:r>
          </w:p>
        </w:tc>
        <w:tc>
          <w:tcPr>
            <w:tcW w:w="44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114,754</w:t>
            </w:r>
          </w:p>
        </w:tc>
      </w:tr>
      <w:tr>
        <w:trPr>
          <w:trHeight w:val="34"/>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 share amounts (Note 3):</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net income per share attributable to Vail Resorts, Inc.</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4.13</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net income per share attributable to Vail Resorts, Inc.</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w:t>
            </w:r>
          </w:p>
        </w:tc>
      </w:tr>
      <w:tr>
        <w:trPr>
          <w:trHeight w:val="243"/>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2.865</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2.075</w:t>
            </w: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009" w:right="2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Year Ended July 31,</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8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6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231,718</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149,454</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114,610</w:t>
            </w:r>
          </w:p>
        </w:tc>
      </w:tr>
      <w:tr>
        <w:trPr>
          <w:trHeight w:val="225"/>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adjustments and other (net of tax of ($2,831), ($1,905) and</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$2,578, respectively)</w:t>
            </w:r>
          </w:p>
        </w:tc>
        <w:tc>
          <w:tcPr>
            <w:tcW w:w="3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64,152</w:t>
            </w:r>
          </w:p>
        </w:tc>
        <w:tc>
          <w:tcPr>
            <w:tcW w:w="38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3,363</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(4,714)</w:t>
            </w:r>
          </w:p>
        </w:tc>
      </w:tr>
      <w:tr>
        <w:trPr>
          <w:trHeight w:val="27"/>
        </w:trPr>
        <w:tc>
          <w:tcPr>
            <w:tcW w:w="6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295,870</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152,817</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109,896</w:t>
            </w: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(39,372)</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r>
      <w:tr>
        <w:trPr>
          <w:trHeight w:val="27"/>
        </w:trPr>
        <w:tc>
          <w:tcPr>
            <w:tcW w:w="6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attributable to Vail Resorts, Inc.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256,498</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153,117</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110,040</w:t>
            </w:r>
          </w:p>
        </w:tc>
      </w:tr>
      <w:tr>
        <w:trPr>
          <w:trHeight w:val="27"/>
        </w:trPr>
        <w:tc>
          <w:tcPr>
            <w:tcW w:w="66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009" w:right="2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6"/>
              </w:rPr>
              <w:t>Total Vail</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Resorts, Inc.</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w w:val="98"/>
              </w:rPr>
              <w:t>Paid in</w:t>
            </w: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2760" w:type="dxa"/>
            <w:vAlign w:val="bottom"/>
            <w:gridSpan w:val="6"/>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 Noncontrolling Stockholders’</w:t>
            </w:r>
          </w:p>
        </w:tc>
        <w:tc>
          <w:tcPr>
            <w:tcW w:w="0" w:type="dxa"/>
            <w:vAlign w:val="bottom"/>
          </w:tcPr>
          <w:p>
            <w:pPr>
              <w:spacing w:after="0"/>
              <w:rPr>
                <w:sz w:val="1"/>
                <w:szCs w:val="1"/>
                <w:color w:val="auto"/>
              </w:rPr>
            </w:pPr>
          </w:p>
        </w:tc>
      </w:tr>
      <w:tr>
        <w:trPr>
          <w:trHeight w:val="195"/>
        </w:trPr>
        <w:tc>
          <w:tcPr>
            <w:tcW w:w="2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7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Vail</w:t>
            </w: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Exchangeable</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7"/>
              </w:rPr>
              <w:t>Resorts</w:t>
            </w:r>
          </w:p>
        </w:tc>
        <w:tc>
          <w:tcPr>
            <w:tcW w:w="9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July 31, 2014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612,322</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$401,500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(193,192)</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820,843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13,957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834,800</w:t>
            </w:r>
          </w:p>
        </w:tc>
        <w:tc>
          <w:tcPr>
            <w:tcW w:w="0" w:type="dxa"/>
            <w:vAlign w:val="bottom"/>
          </w:tcPr>
          <w:p>
            <w:pPr>
              <w:spacing w:after="0"/>
              <w:rPr>
                <w:sz w:val="1"/>
                <w:szCs w:val="1"/>
                <w:color w:val="auto"/>
              </w:rPr>
            </w:pPr>
          </w:p>
        </w:tc>
      </w:tr>
      <w:tr>
        <w:trPr>
          <w:trHeight w:val="193"/>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114,754</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114,754</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114,610</w:t>
            </w:r>
          </w:p>
        </w:tc>
        <w:tc>
          <w:tcPr>
            <w:tcW w:w="0" w:type="dxa"/>
            <w:vAlign w:val="bottom"/>
          </w:tcPr>
          <w:p>
            <w:pPr>
              <w:spacing w:after="0"/>
              <w:rPr>
                <w:sz w:val="1"/>
                <w:szCs w:val="1"/>
                <w:color w:val="auto"/>
              </w:rPr>
            </w:pPr>
          </w:p>
        </w:tc>
      </w:tr>
      <w:tr>
        <w:trPr>
          <w:trHeight w:val="153"/>
        </w:trPr>
        <w:tc>
          <w:tcPr>
            <w:tcW w:w="280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Foreign currency translation adjustments, net</w:t>
            </w:r>
          </w:p>
        </w:tc>
        <w:tc>
          <w:tcPr>
            <w:tcW w:w="12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3"/>
                <w:szCs w:val="13"/>
                <w:color w:val="auto"/>
              </w:rPr>
            </w:pPr>
          </w:p>
        </w:tc>
        <w:tc>
          <w:tcPr>
            <w:tcW w:w="2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3"/>
                <w:szCs w:val="13"/>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(4,714)</w:t>
            </w: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(4,714)</w:t>
            </w:r>
          </w:p>
        </w:tc>
        <w:tc>
          <w:tcPr>
            <w:tcW w:w="180" w:type="dxa"/>
            <w:vAlign w:val="bottom"/>
          </w:tcPr>
          <w:p>
            <w:pPr>
              <w:spacing w:after="0"/>
              <w:rPr>
                <w:sz w:val="13"/>
                <w:szCs w:val="13"/>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(4,714)</w:t>
            </w:r>
          </w:p>
        </w:tc>
        <w:tc>
          <w:tcPr>
            <w:tcW w:w="0" w:type="dxa"/>
            <w:vAlign w:val="bottom"/>
          </w:tcPr>
          <w:p>
            <w:pPr>
              <w:spacing w:after="0"/>
              <w:rPr>
                <w:sz w:val="1"/>
                <w:szCs w:val="1"/>
                <w:color w:val="auto"/>
              </w:rPr>
            </w:pPr>
          </w:p>
        </w:tc>
      </w:tr>
      <w:tr>
        <w:trPr>
          <w:trHeight w:val="193"/>
        </w:trPr>
        <w:tc>
          <w:tcPr>
            <w:tcW w:w="2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of tax</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vMerge w:val="continue"/>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vMerge w:val="continue"/>
          </w:tcPr>
          <w:p>
            <w:pPr>
              <w:spacing w:after="0"/>
              <w:rPr>
                <w:sz w:val="16"/>
                <w:szCs w:val="16"/>
                <w:color w:val="auto"/>
              </w:rPr>
            </w:pPr>
          </w:p>
        </w:tc>
        <w:tc>
          <w:tcPr>
            <w:tcW w:w="660" w:type="dxa"/>
            <w:vAlign w:val="bottom"/>
            <w:tcBorders>
              <w:bottom w:val="single" w:sz="8" w:color="CCEEFF"/>
            </w:tcBorders>
            <w:vMerge w:val="continue"/>
          </w:tcPr>
          <w:p>
            <w:pPr>
              <w:spacing w:after="0"/>
              <w:rPr>
                <w:sz w:val="16"/>
                <w:szCs w:val="16"/>
                <w:color w:val="auto"/>
              </w:rPr>
            </w:pPr>
          </w:p>
        </w:tc>
        <w:tc>
          <w:tcPr>
            <w:tcW w:w="74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110,040</w:t>
            </w:r>
          </w:p>
        </w:tc>
        <w:tc>
          <w:tcPr>
            <w:tcW w:w="1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109,896</w:t>
            </w:r>
          </w:p>
        </w:tc>
        <w:tc>
          <w:tcPr>
            <w:tcW w:w="0" w:type="dxa"/>
            <w:vAlign w:val="bottom"/>
          </w:tcPr>
          <w:p>
            <w:pPr>
              <w:spacing w:after="0"/>
              <w:rPr>
                <w:sz w:val="1"/>
                <w:szCs w:val="1"/>
                <w:color w:val="auto"/>
              </w:rPr>
            </w:pPr>
          </w:p>
        </w:tc>
      </w:tr>
      <w:tr>
        <w:trPr>
          <w:trHeight w:val="78"/>
        </w:trPr>
        <w:tc>
          <w:tcPr>
            <w:tcW w:w="2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(Note 15)</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7"/>
                <w:szCs w:val="17"/>
                <w:color w:val="auto"/>
              </w:rPr>
            </w:pP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15,753</w:t>
            </w:r>
          </w:p>
        </w:tc>
        <w:tc>
          <w:tcPr>
            <w:tcW w:w="20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15,753</w:t>
            </w:r>
          </w:p>
        </w:tc>
        <w:tc>
          <w:tcPr>
            <w:tcW w:w="18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15,753</w:t>
            </w:r>
          </w:p>
        </w:tc>
        <w:tc>
          <w:tcPr>
            <w:tcW w:w="0" w:type="dxa"/>
            <w:vAlign w:val="bottom"/>
          </w:tcPr>
          <w:p>
            <w:pPr>
              <w:spacing w:after="0"/>
              <w:rPr>
                <w:sz w:val="1"/>
                <w:szCs w:val="1"/>
                <w:color w:val="auto"/>
              </w:rPr>
            </w:pPr>
          </w:p>
        </w:tc>
      </w:tr>
      <w:tr>
        <w:trPr>
          <w:trHeight w:val="158"/>
        </w:trPr>
        <w:tc>
          <w:tcPr>
            <w:tcW w:w="280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Issuance of shares under share award plan</w:t>
            </w: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6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(17,189)</w:t>
            </w: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(17,186)</w:t>
            </w:r>
          </w:p>
        </w:tc>
        <w:tc>
          <w:tcPr>
            <w:tcW w:w="1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(17,186)</w:t>
            </w:r>
          </w:p>
        </w:tc>
        <w:tc>
          <w:tcPr>
            <w:tcW w:w="0" w:type="dxa"/>
            <w:vAlign w:val="bottom"/>
          </w:tcPr>
          <w:p>
            <w:pPr>
              <w:spacing w:after="0"/>
              <w:rPr>
                <w:sz w:val="1"/>
                <w:szCs w:val="1"/>
                <w:color w:val="auto"/>
              </w:rPr>
            </w:pPr>
          </w:p>
        </w:tc>
      </w:tr>
      <w:tr>
        <w:trPr>
          <w:trHeight w:val="198"/>
        </w:trPr>
        <w:tc>
          <w:tcPr>
            <w:tcW w:w="2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of shares withheld for taxes (Note 15)</w:t>
            </w:r>
          </w:p>
        </w:tc>
        <w:tc>
          <w:tcPr>
            <w:tcW w:w="12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 benefit from share award plan</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8"/>
                <w:szCs w:val="18"/>
                <w:color w:val="auto"/>
              </w:rPr>
            </w:pP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8"/>
                <w:szCs w:val="18"/>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12,624</w:t>
            </w:r>
          </w:p>
        </w:tc>
        <w:tc>
          <w:tcPr>
            <w:tcW w:w="20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12,624</w:t>
            </w:r>
          </w:p>
        </w:tc>
        <w:tc>
          <w:tcPr>
            <w:tcW w:w="18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12,624</w:t>
            </w:r>
          </w:p>
        </w:tc>
        <w:tc>
          <w:tcPr>
            <w:tcW w:w="0" w:type="dxa"/>
            <w:vAlign w:val="bottom"/>
          </w:tcPr>
          <w:p>
            <w:pPr>
              <w:spacing w:after="0"/>
              <w:rPr>
                <w:sz w:val="1"/>
                <w:szCs w:val="1"/>
                <w:color w:val="auto"/>
              </w:rPr>
            </w:pPr>
          </w:p>
        </w:tc>
      </w:tr>
      <w:tr>
        <w:trPr>
          <w:trHeight w:val="221"/>
        </w:trPr>
        <w:tc>
          <w:tcPr>
            <w:tcW w:w="2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(Note 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(75,506)</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(75,506)</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(75,506)</w:t>
            </w:r>
          </w:p>
        </w:tc>
        <w:tc>
          <w:tcPr>
            <w:tcW w:w="0" w:type="dxa"/>
            <w:vAlign w:val="bottom"/>
          </w:tcPr>
          <w:p>
            <w:pPr>
              <w:spacing w:after="0"/>
              <w:rPr>
                <w:sz w:val="1"/>
                <w:szCs w:val="1"/>
                <w:color w:val="auto"/>
              </w:rPr>
            </w:pPr>
          </w:p>
        </w:tc>
      </w:tr>
      <w:tr>
        <w:trPr>
          <w:trHeight w:val="153"/>
        </w:trPr>
        <w:tc>
          <w:tcPr>
            <w:tcW w:w="280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12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3"/>
                <w:szCs w:val="13"/>
                <w:color w:val="auto"/>
              </w:rPr>
            </w:pPr>
          </w:p>
        </w:tc>
        <w:tc>
          <w:tcPr>
            <w:tcW w:w="2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3"/>
                <w:szCs w:val="13"/>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205</w:t>
            </w:r>
          </w:p>
        </w:tc>
        <w:tc>
          <w:tcPr>
            <w:tcW w:w="180" w:type="dxa"/>
            <w:vAlign w:val="bottom"/>
          </w:tcPr>
          <w:p>
            <w:pPr>
              <w:spacing w:after="0"/>
              <w:rPr>
                <w:sz w:val="13"/>
                <w:szCs w:val="13"/>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193"/>
        </w:trPr>
        <w:tc>
          <w:tcPr>
            <w:tcW w:w="2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net</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July 31, 2015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623,510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(4,913)</w:t>
            </w:r>
          </w:p>
        </w:tc>
        <w:tc>
          <w:tcPr>
            <w:tcW w:w="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440,748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(193,192)</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866,568</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14,018</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880,586</w:t>
            </w:r>
          </w:p>
        </w:tc>
        <w:tc>
          <w:tcPr>
            <w:tcW w:w="0" w:type="dxa"/>
            <w:vAlign w:val="bottom"/>
          </w:tcPr>
          <w:p>
            <w:pPr>
              <w:spacing w:after="0"/>
              <w:rPr>
                <w:sz w:val="1"/>
                <w:szCs w:val="1"/>
                <w:color w:val="auto"/>
              </w:rPr>
            </w:pPr>
          </w:p>
        </w:tc>
      </w:tr>
      <w:tr>
        <w:trPr>
          <w:trHeight w:val="193"/>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149,754</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149,754</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149,454</w:t>
            </w:r>
          </w:p>
        </w:tc>
        <w:tc>
          <w:tcPr>
            <w:tcW w:w="0" w:type="dxa"/>
            <w:vAlign w:val="bottom"/>
          </w:tcPr>
          <w:p>
            <w:pPr>
              <w:spacing w:after="0"/>
              <w:rPr>
                <w:sz w:val="1"/>
                <w:szCs w:val="1"/>
                <w:color w:val="auto"/>
              </w:rPr>
            </w:pPr>
          </w:p>
        </w:tc>
      </w:tr>
      <w:tr>
        <w:trPr>
          <w:trHeight w:val="153"/>
        </w:trPr>
        <w:tc>
          <w:tcPr>
            <w:tcW w:w="2800" w:type="dxa"/>
            <w:vAlign w:val="bottom"/>
          </w:tcPr>
          <w:p>
            <w:pPr>
              <w:ind w:left="280"/>
              <w:spacing w:after="0" w:line="153"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12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3"/>
                <w:szCs w:val="13"/>
                <w:color w:val="auto"/>
              </w:rPr>
            </w:pPr>
          </w:p>
        </w:tc>
        <w:tc>
          <w:tcPr>
            <w:tcW w:w="2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3"/>
                <w:szCs w:val="13"/>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3,363</w:t>
            </w: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3,363</w:t>
            </w:r>
          </w:p>
        </w:tc>
        <w:tc>
          <w:tcPr>
            <w:tcW w:w="180" w:type="dxa"/>
            <w:vAlign w:val="bottom"/>
          </w:tcPr>
          <w:p>
            <w:pPr>
              <w:spacing w:after="0"/>
              <w:rPr>
                <w:sz w:val="13"/>
                <w:szCs w:val="13"/>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3,363</w:t>
            </w:r>
          </w:p>
        </w:tc>
        <w:tc>
          <w:tcPr>
            <w:tcW w:w="0" w:type="dxa"/>
            <w:vAlign w:val="bottom"/>
          </w:tcPr>
          <w:p>
            <w:pPr>
              <w:spacing w:after="0"/>
              <w:rPr>
                <w:sz w:val="1"/>
                <w:szCs w:val="1"/>
                <w:color w:val="auto"/>
              </w:rPr>
            </w:pPr>
          </w:p>
        </w:tc>
      </w:tr>
      <w:tr>
        <w:trPr>
          <w:trHeight w:val="193"/>
        </w:trPr>
        <w:tc>
          <w:tcPr>
            <w:tcW w:w="28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and other, net of tax</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vMerge w:val="continue"/>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vMerge w:val="continue"/>
          </w:tcPr>
          <w:p>
            <w:pPr>
              <w:spacing w:after="0"/>
              <w:rPr>
                <w:sz w:val="16"/>
                <w:szCs w:val="16"/>
                <w:color w:val="auto"/>
              </w:rPr>
            </w:pPr>
          </w:p>
        </w:tc>
        <w:tc>
          <w:tcPr>
            <w:tcW w:w="660" w:type="dxa"/>
            <w:vAlign w:val="bottom"/>
            <w:tcBorders>
              <w:bottom w:val="single" w:sz="8" w:color="CCEEFF"/>
            </w:tcBorders>
            <w:vMerge w:val="continue"/>
          </w:tcPr>
          <w:p>
            <w:pPr>
              <w:spacing w:after="0"/>
              <w:rPr>
                <w:sz w:val="16"/>
                <w:szCs w:val="16"/>
                <w:color w:val="auto"/>
              </w:rPr>
            </w:pPr>
          </w:p>
        </w:tc>
        <w:tc>
          <w:tcPr>
            <w:tcW w:w="74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153,117</w:t>
            </w:r>
          </w:p>
        </w:tc>
        <w:tc>
          <w:tcPr>
            <w:tcW w:w="1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152,817</w:t>
            </w:r>
          </w:p>
        </w:tc>
        <w:tc>
          <w:tcPr>
            <w:tcW w:w="0" w:type="dxa"/>
            <w:vAlign w:val="bottom"/>
          </w:tcPr>
          <w:p>
            <w:pPr>
              <w:spacing w:after="0"/>
              <w:rPr>
                <w:sz w:val="1"/>
                <w:szCs w:val="1"/>
                <w:color w:val="auto"/>
              </w:rPr>
            </w:pPr>
          </w:p>
        </w:tc>
      </w:tr>
      <w:tr>
        <w:trPr>
          <w:trHeight w:val="78"/>
        </w:trPr>
        <w:tc>
          <w:tcPr>
            <w:tcW w:w="2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(Note 15)</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7"/>
                <w:szCs w:val="17"/>
                <w:color w:val="auto"/>
              </w:rPr>
            </w:pP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17,025</w:t>
            </w:r>
          </w:p>
        </w:tc>
        <w:tc>
          <w:tcPr>
            <w:tcW w:w="20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17,025</w:t>
            </w:r>
          </w:p>
        </w:tc>
        <w:tc>
          <w:tcPr>
            <w:tcW w:w="18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17,025</w:t>
            </w:r>
          </w:p>
        </w:tc>
        <w:tc>
          <w:tcPr>
            <w:tcW w:w="0" w:type="dxa"/>
            <w:vAlign w:val="bottom"/>
          </w:tcPr>
          <w:p>
            <w:pPr>
              <w:spacing w:after="0"/>
              <w:rPr>
                <w:sz w:val="1"/>
                <w:szCs w:val="1"/>
                <w:color w:val="auto"/>
              </w:rPr>
            </w:pPr>
          </w:p>
        </w:tc>
      </w:tr>
      <w:tr>
        <w:trPr>
          <w:trHeight w:val="158"/>
        </w:trPr>
        <w:tc>
          <w:tcPr>
            <w:tcW w:w="280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Issuance of shares under share award plan</w:t>
            </w: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6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(10,216)</w:t>
            </w: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(10,215)</w:t>
            </w:r>
          </w:p>
        </w:tc>
        <w:tc>
          <w:tcPr>
            <w:tcW w:w="1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(10,215)</w:t>
            </w:r>
          </w:p>
        </w:tc>
        <w:tc>
          <w:tcPr>
            <w:tcW w:w="0" w:type="dxa"/>
            <w:vAlign w:val="bottom"/>
          </w:tcPr>
          <w:p>
            <w:pPr>
              <w:spacing w:after="0"/>
              <w:rPr>
                <w:sz w:val="1"/>
                <w:szCs w:val="1"/>
                <w:color w:val="auto"/>
              </w:rPr>
            </w:pPr>
          </w:p>
        </w:tc>
      </w:tr>
      <w:tr>
        <w:trPr>
          <w:trHeight w:val="198"/>
        </w:trPr>
        <w:tc>
          <w:tcPr>
            <w:tcW w:w="2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of shares withheld for taxes (Note 15)</w:t>
            </w:r>
          </w:p>
        </w:tc>
        <w:tc>
          <w:tcPr>
            <w:tcW w:w="12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 benefit from share award plan</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8"/>
                <w:szCs w:val="18"/>
                <w:color w:val="auto"/>
              </w:rPr>
            </w:pP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8"/>
                <w:szCs w:val="18"/>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5,667</w:t>
            </w:r>
          </w:p>
        </w:tc>
        <w:tc>
          <w:tcPr>
            <w:tcW w:w="20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5,667</w:t>
            </w:r>
          </w:p>
        </w:tc>
        <w:tc>
          <w:tcPr>
            <w:tcW w:w="18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5,667</w:t>
            </w:r>
          </w:p>
        </w:tc>
        <w:tc>
          <w:tcPr>
            <w:tcW w:w="0" w:type="dxa"/>
            <w:vAlign w:val="bottom"/>
          </w:tcPr>
          <w:p>
            <w:pPr>
              <w:spacing w:after="0"/>
              <w:rPr>
                <w:sz w:val="1"/>
                <w:szCs w:val="1"/>
                <w:color w:val="auto"/>
              </w:rPr>
            </w:pPr>
          </w:p>
        </w:tc>
      </w:tr>
      <w:tr>
        <w:trPr>
          <w:trHeight w:val="221"/>
        </w:trPr>
        <w:tc>
          <w:tcPr>
            <w:tcW w:w="2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Repurchases of common stock (Note 14)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(53,787)</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(53,787)</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(53,787)</w:t>
            </w:r>
          </w:p>
        </w:tc>
        <w:tc>
          <w:tcPr>
            <w:tcW w:w="0" w:type="dxa"/>
            <w:vAlign w:val="bottom"/>
          </w:tcPr>
          <w:p>
            <w:pPr>
              <w:spacing w:after="0"/>
              <w:rPr>
                <w:sz w:val="1"/>
                <w:szCs w:val="1"/>
                <w:color w:val="auto"/>
              </w:rPr>
            </w:pPr>
          </w:p>
        </w:tc>
      </w:tr>
      <w:tr>
        <w:trPr>
          <w:trHeight w:val="211"/>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(Note 3)</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8"/>
                <w:szCs w:val="18"/>
                <w:color w:val="auto"/>
              </w:rPr>
            </w:pP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8"/>
                <w:szCs w:val="18"/>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(103,835)</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(103,835)</w:t>
            </w:r>
          </w:p>
        </w:tc>
        <w:tc>
          <w:tcPr>
            <w:tcW w:w="18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(103,835)</w:t>
            </w:r>
          </w:p>
        </w:tc>
        <w:tc>
          <w:tcPr>
            <w:tcW w:w="0" w:type="dxa"/>
            <w:vAlign w:val="bottom"/>
          </w:tcPr>
          <w:p>
            <w:pPr>
              <w:spacing w:after="0"/>
              <w:rPr>
                <w:sz w:val="1"/>
                <w:szCs w:val="1"/>
                <w:color w:val="auto"/>
              </w:rPr>
            </w:pPr>
          </w:p>
        </w:tc>
      </w:tr>
      <w:tr>
        <w:trPr>
          <w:trHeight w:val="158"/>
        </w:trPr>
        <w:tc>
          <w:tcPr>
            <w:tcW w:w="280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208</w:t>
            </w: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208</w:t>
            </w:r>
          </w:p>
        </w:tc>
        <w:tc>
          <w:tcPr>
            <w:tcW w:w="0" w:type="dxa"/>
            <w:vAlign w:val="bottom"/>
          </w:tcPr>
          <w:p>
            <w:pPr>
              <w:spacing w:after="0"/>
              <w:rPr>
                <w:sz w:val="1"/>
                <w:szCs w:val="1"/>
                <w:color w:val="auto"/>
              </w:rPr>
            </w:pPr>
          </w:p>
        </w:tc>
      </w:tr>
      <w:tr>
        <w:trPr>
          <w:trHeight w:val="193"/>
        </w:trPr>
        <w:tc>
          <w:tcPr>
            <w:tcW w:w="28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w:t>
            </w: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 July 31, 2016</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660" w:type="dxa"/>
            <w:vAlign w:val="bottom"/>
          </w:tcPr>
          <w:p>
            <w:pPr>
              <w:spacing w:after="0"/>
              <w:rPr>
                <w:sz w:val="18"/>
                <w:szCs w:val="18"/>
                <w:color w:val="auto"/>
              </w:rPr>
            </w:pP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8"/>
                <w:szCs w:val="18"/>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635,986</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w:t>
            </w: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486,667</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(246,979)</w:t>
            </w:r>
          </w:p>
        </w:tc>
        <w:tc>
          <w:tcPr>
            <w:tcW w:w="12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874,540</w:t>
            </w:r>
          </w:p>
        </w:tc>
        <w:tc>
          <w:tcPr>
            <w:tcW w:w="18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13,926</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888,466</w:t>
            </w:r>
          </w:p>
        </w:tc>
        <w:tc>
          <w:tcPr>
            <w:tcW w:w="0" w:type="dxa"/>
            <w:vAlign w:val="bottom"/>
          </w:tcPr>
          <w:p>
            <w:pPr>
              <w:spacing w:after="0"/>
              <w:rPr>
                <w:sz w:val="1"/>
                <w:szCs w:val="1"/>
                <w:color w:val="auto"/>
              </w:rPr>
            </w:pPr>
          </w:p>
        </w:tc>
      </w:tr>
      <w:tr>
        <w:trPr>
          <w:trHeight w:val="198"/>
        </w:trPr>
        <w:tc>
          <w:tcPr>
            <w:tcW w:w="2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Comprehensive income:</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2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8"/>
                <w:szCs w:val="18"/>
                <w:color w:val="auto"/>
              </w:rPr>
            </w:pP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8"/>
                <w:szCs w:val="18"/>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210,553</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210,553</w:t>
            </w:r>
          </w:p>
        </w:tc>
        <w:tc>
          <w:tcPr>
            <w:tcW w:w="18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21,165</w:t>
            </w:r>
          </w:p>
        </w:tc>
        <w:tc>
          <w:tcPr>
            <w:tcW w:w="18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231,718</w:t>
            </w:r>
          </w:p>
        </w:tc>
        <w:tc>
          <w:tcPr>
            <w:tcW w:w="0" w:type="dxa"/>
            <w:vAlign w:val="bottom"/>
          </w:tcPr>
          <w:p>
            <w:pPr>
              <w:spacing w:after="0"/>
              <w:rPr>
                <w:sz w:val="1"/>
                <w:szCs w:val="1"/>
                <w:color w:val="auto"/>
              </w:rPr>
            </w:pPr>
          </w:p>
        </w:tc>
      </w:tr>
      <w:tr>
        <w:trPr>
          <w:trHeight w:val="158"/>
        </w:trPr>
        <w:tc>
          <w:tcPr>
            <w:tcW w:w="2800" w:type="dxa"/>
            <w:vAlign w:val="bottom"/>
            <w:shd w:val="clear" w:color="auto" w:fill="CCEEFF"/>
          </w:tcPr>
          <w:p>
            <w:pPr>
              <w:ind w:left="280"/>
              <w:spacing w:after="0" w:line="158"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45,945</w:t>
            </w:r>
          </w:p>
        </w:tc>
        <w:tc>
          <w:tcPr>
            <w:tcW w:w="6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45,945</w:t>
            </w:r>
          </w:p>
        </w:tc>
        <w:tc>
          <w:tcPr>
            <w:tcW w:w="1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18,207</w:t>
            </w: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64,152</w:t>
            </w:r>
          </w:p>
        </w:tc>
        <w:tc>
          <w:tcPr>
            <w:tcW w:w="0" w:type="dxa"/>
            <w:vAlign w:val="bottom"/>
          </w:tcPr>
          <w:p>
            <w:pPr>
              <w:spacing w:after="0"/>
              <w:rPr>
                <w:sz w:val="1"/>
                <w:szCs w:val="1"/>
                <w:color w:val="auto"/>
              </w:rPr>
            </w:pPr>
          </w:p>
        </w:tc>
      </w:tr>
      <w:tr>
        <w:trPr>
          <w:trHeight w:val="198"/>
        </w:trPr>
        <w:tc>
          <w:tcPr>
            <w:tcW w:w="2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of tax</w:t>
            </w:r>
          </w:p>
        </w:tc>
        <w:tc>
          <w:tcPr>
            <w:tcW w:w="12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256,498</w:t>
            </w:r>
          </w:p>
        </w:tc>
        <w:tc>
          <w:tcPr>
            <w:tcW w:w="180" w:type="dxa"/>
            <w:vAlign w:val="bottom"/>
          </w:tcPr>
          <w:p>
            <w:pPr>
              <w:spacing w:after="0"/>
              <w:rPr>
                <w:sz w:val="15"/>
                <w:szCs w:val="15"/>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39,372</w:t>
            </w:r>
          </w:p>
        </w:tc>
        <w:tc>
          <w:tcPr>
            <w:tcW w:w="180" w:type="dxa"/>
            <w:vAlign w:val="bottom"/>
          </w:tcPr>
          <w:p>
            <w:pPr>
              <w:spacing w:after="0"/>
              <w:rPr>
                <w:sz w:val="15"/>
                <w:szCs w:val="15"/>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295,870</w:t>
            </w:r>
          </w:p>
        </w:tc>
        <w:tc>
          <w:tcPr>
            <w:tcW w:w="0" w:type="dxa"/>
            <w:vAlign w:val="bottom"/>
          </w:tcPr>
          <w:p>
            <w:pPr>
              <w:spacing w:after="0"/>
              <w:rPr>
                <w:sz w:val="1"/>
                <w:szCs w:val="1"/>
                <w:color w:val="auto"/>
              </w:rPr>
            </w:pPr>
          </w:p>
        </w:tc>
      </w:tr>
      <w:tr>
        <w:trPr>
          <w:trHeight w:val="73"/>
        </w:trPr>
        <w:tc>
          <w:tcPr>
            <w:tcW w:w="28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40" w:type="dxa"/>
            <w:vAlign w:val="bottom"/>
            <w:tcBorders>
              <w:bottom w:val="single" w:sz="8" w:color="CCEEFF"/>
            </w:tcBorders>
          </w:tcPr>
          <w:p>
            <w:pPr>
              <w:spacing w:after="0"/>
              <w:rPr>
                <w:sz w:val="6"/>
                <w:szCs w:val="6"/>
                <w:color w:val="auto"/>
              </w:rPr>
            </w:pPr>
          </w:p>
        </w:tc>
        <w:tc>
          <w:tcPr>
            <w:tcW w:w="660" w:type="dxa"/>
            <w:vAlign w:val="bottom"/>
            <w:tcBorders>
              <w:bottom w:val="single" w:sz="8" w:color="CCEEFF"/>
            </w:tcBorders>
          </w:tcPr>
          <w:p>
            <w:pPr>
              <w:spacing w:after="0"/>
              <w:rPr>
                <w:sz w:val="6"/>
                <w:szCs w:val="6"/>
                <w:color w:val="auto"/>
              </w:rPr>
            </w:pPr>
          </w:p>
        </w:tc>
        <w:tc>
          <w:tcPr>
            <w:tcW w:w="2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800" w:type="dxa"/>
            <w:vAlign w:val="bottom"/>
            <w:tcBorders>
              <w:bottom w:val="single" w:sz="8" w:color="CCEEFF"/>
            </w:tcBorders>
          </w:tcPr>
          <w:p>
            <w:pPr>
              <w:spacing w:after="0"/>
              <w:rPr>
                <w:sz w:val="6"/>
                <w:szCs w:val="6"/>
                <w:color w:val="auto"/>
              </w:rPr>
            </w:pPr>
          </w:p>
        </w:tc>
        <w:tc>
          <w:tcPr>
            <w:tcW w:w="660" w:type="dxa"/>
            <w:vAlign w:val="bottom"/>
            <w:tcBorders>
              <w:bottom w:val="single" w:sz="8" w:color="CCEEFF"/>
            </w:tcBorders>
          </w:tcPr>
          <w:p>
            <w:pPr>
              <w:spacing w:after="0"/>
              <w:rPr>
                <w:sz w:val="6"/>
                <w:szCs w:val="6"/>
                <w:color w:val="auto"/>
              </w:rPr>
            </w:pPr>
          </w:p>
        </w:tc>
        <w:tc>
          <w:tcPr>
            <w:tcW w:w="74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(Note 15)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18,315</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18,315</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18,315</w:t>
            </w:r>
          </w:p>
        </w:tc>
        <w:tc>
          <w:tcPr>
            <w:tcW w:w="0" w:type="dxa"/>
            <w:vAlign w:val="bottom"/>
          </w:tcPr>
          <w:p>
            <w:pPr>
              <w:spacing w:after="0"/>
              <w:rPr>
                <w:sz w:val="1"/>
                <w:szCs w:val="1"/>
                <w:color w:val="auto"/>
              </w:rPr>
            </w:pPr>
          </w:p>
        </w:tc>
      </w:tr>
      <w:tr>
        <w:trPr>
          <w:trHeight w:val="193"/>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issued for acquisition (Note 5)</w:t>
            </w:r>
          </w:p>
        </w:tc>
        <w:tc>
          <w:tcPr>
            <w:tcW w:w="120" w:type="dxa"/>
            <w:vAlign w:val="bottom"/>
          </w:tcPr>
          <w:p>
            <w:pPr>
              <w:spacing w:after="0"/>
              <w:rPr>
                <w:sz w:val="16"/>
                <w:szCs w:val="16"/>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660" w:type="dxa"/>
            <w:vAlign w:val="bottom"/>
          </w:tcPr>
          <w:p>
            <w:pPr>
              <w:spacing w:after="0"/>
              <w:rPr>
                <w:sz w:val="16"/>
                <w:szCs w:val="16"/>
                <w:color w:val="auto"/>
              </w:rPr>
            </w:pPr>
          </w:p>
        </w:tc>
        <w:tc>
          <w:tcPr>
            <w:tcW w:w="2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574,608</w:t>
            </w:r>
          </w:p>
        </w:tc>
        <w:tc>
          <w:tcPr>
            <w:tcW w:w="20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574,645</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574,645</w:t>
            </w:r>
          </w:p>
        </w:tc>
        <w:tc>
          <w:tcPr>
            <w:tcW w:w="0" w:type="dxa"/>
            <w:vAlign w:val="bottom"/>
          </w:tcPr>
          <w:p>
            <w:pPr>
              <w:spacing w:after="0"/>
              <w:rPr>
                <w:sz w:val="1"/>
                <w:szCs w:val="1"/>
                <w:color w:val="auto"/>
              </w:rPr>
            </w:pPr>
          </w:p>
        </w:tc>
      </w:tr>
      <w:tr>
        <w:trPr>
          <w:trHeight w:val="73"/>
        </w:trPr>
        <w:tc>
          <w:tcPr>
            <w:tcW w:w="2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Exchangeable share transfers</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280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Issuance of shares under share award plan</w:t>
            </w:r>
          </w:p>
        </w:tc>
        <w:tc>
          <w:tcPr>
            <w:tcW w:w="12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60" w:type="dxa"/>
            <w:vAlign w:val="bottom"/>
          </w:tcPr>
          <w:p>
            <w:pPr>
              <w:spacing w:after="0"/>
              <w:rPr>
                <w:sz w:val="13"/>
                <w:szCs w:val="13"/>
                <w:color w:val="auto"/>
              </w:rPr>
            </w:pPr>
          </w:p>
        </w:tc>
        <w:tc>
          <w:tcPr>
            <w:tcW w:w="2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(16,277)</w:t>
            </w:r>
          </w:p>
        </w:tc>
        <w:tc>
          <w:tcPr>
            <w:tcW w:w="200" w:type="dxa"/>
            <w:vAlign w:val="bottom"/>
          </w:tcPr>
          <w:p>
            <w:pPr>
              <w:spacing w:after="0"/>
              <w:rPr>
                <w:sz w:val="13"/>
                <w:szCs w:val="13"/>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(16,275)</w:t>
            </w:r>
          </w:p>
        </w:tc>
        <w:tc>
          <w:tcPr>
            <w:tcW w:w="180" w:type="dxa"/>
            <w:vAlign w:val="bottom"/>
          </w:tcPr>
          <w:p>
            <w:pPr>
              <w:spacing w:after="0"/>
              <w:rPr>
                <w:sz w:val="13"/>
                <w:szCs w:val="13"/>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(16,275)</w:t>
            </w:r>
          </w:p>
        </w:tc>
        <w:tc>
          <w:tcPr>
            <w:tcW w:w="0" w:type="dxa"/>
            <w:vAlign w:val="bottom"/>
          </w:tcPr>
          <w:p>
            <w:pPr>
              <w:spacing w:after="0"/>
              <w:rPr>
                <w:sz w:val="1"/>
                <w:szCs w:val="1"/>
                <w:color w:val="auto"/>
              </w:rPr>
            </w:pPr>
          </w:p>
        </w:tc>
      </w:tr>
      <w:tr>
        <w:trPr>
          <w:trHeight w:val="193"/>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of shares withheld for taxes (Note 15)</w:t>
            </w: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Tax benefit from share award plan</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9,878</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9,878</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9,878</w:t>
            </w:r>
          </w:p>
        </w:tc>
        <w:tc>
          <w:tcPr>
            <w:tcW w:w="0" w:type="dxa"/>
            <w:vAlign w:val="bottom"/>
          </w:tcPr>
          <w:p>
            <w:pPr>
              <w:spacing w:after="0"/>
              <w:rPr>
                <w:sz w:val="1"/>
                <w:szCs w:val="1"/>
                <w:color w:val="auto"/>
              </w:rPr>
            </w:pPr>
          </w:p>
        </w:tc>
      </w:tr>
      <w:tr>
        <w:trPr>
          <w:trHeight w:val="211"/>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 of common stock (Note 14)</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8"/>
                <w:szCs w:val="18"/>
                <w:color w:val="auto"/>
              </w:rPr>
            </w:pP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8"/>
                <w:szCs w:val="18"/>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8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221"/>
        </w:trPr>
        <w:tc>
          <w:tcPr>
            <w:tcW w:w="2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(Note 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(146,235)</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(146,235)</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(146,235)</w:t>
            </w:r>
          </w:p>
        </w:tc>
        <w:tc>
          <w:tcPr>
            <w:tcW w:w="0" w:type="dxa"/>
            <w:vAlign w:val="bottom"/>
          </w:tcPr>
          <w:p>
            <w:pPr>
              <w:spacing w:after="0"/>
              <w:rPr>
                <w:sz w:val="1"/>
                <w:szCs w:val="1"/>
                <w:color w:val="auto"/>
              </w:rPr>
            </w:pPr>
          </w:p>
        </w:tc>
      </w:tr>
      <w:tr>
        <w:trPr>
          <w:trHeight w:val="153"/>
        </w:trPr>
        <w:tc>
          <w:tcPr>
            <w:tcW w:w="280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Acquisition of noncontrolling interest (Note</w:t>
            </w:r>
          </w:p>
        </w:tc>
        <w:tc>
          <w:tcPr>
            <w:tcW w:w="12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3"/>
                <w:szCs w:val="13"/>
                <w:color w:val="auto"/>
              </w:rPr>
            </w:pPr>
          </w:p>
        </w:tc>
        <w:tc>
          <w:tcPr>
            <w:tcW w:w="2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3"/>
                <w:szCs w:val="13"/>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182,579</w:t>
            </w:r>
          </w:p>
        </w:tc>
        <w:tc>
          <w:tcPr>
            <w:tcW w:w="180" w:type="dxa"/>
            <w:vAlign w:val="bottom"/>
          </w:tcPr>
          <w:p>
            <w:pPr>
              <w:spacing w:after="0"/>
              <w:rPr>
                <w:sz w:val="13"/>
                <w:szCs w:val="13"/>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182,579</w:t>
            </w:r>
          </w:p>
        </w:tc>
        <w:tc>
          <w:tcPr>
            <w:tcW w:w="0" w:type="dxa"/>
            <w:vAlign w:val="bottom"/>
          </w:tcPr>
          <w:p>
            <w:pPr>
              <w:spacing w:after="0"/>
              <w:rPr>
                <w:sz w:val="1"/>
                <w:szCs w:val="1"/>
                <w:color w:val="auto"/>
              </w:rPr>
            </w:pPr>
          </w:p>
        </w:tc>
      </w:tr>
      <w:tr>
        <w:trPr>
          <w:trHeight w:val="193"/>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Distributions to noncontrolling interests, net</w:t>
            </w: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(8,074)</w:t>
            </w:r>
          </w:p>
        </w:tc>
        <w:tc>
          <w:tcPr>
            <w:tcW w:w="0" w:type="dxa"/>
            <w:vAlign w:val="bottom"/>
          </w:tcPr>
          <w:p>
            <w:pPr>
              <w:spacing w:after="0"/>
              <w:rPr>
                <w:sz w:val="1"/>
                <w:szCs w:val="1"/>
                <w:color w:val="auto"/>
              </w:rPr>
            </w:pPr>
          </w:p>
        </w:tc>
      </w:tr>
      <w:tr>
        <w:trPr>
          <w:trHeight w:val="205"/>
        </w:trPr>
        <w:tc>
          <w:tcPr>
            <w:tcW w:w="2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 July 31, 2017</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99"/>
              </w:rPr>
              <w:t>1,222,510</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44,395</w:t>
            </w: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$550,985</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(247,189)</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1,571,156</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227,803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1,798,959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65601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60185" cy="8890"/>
                    </a:xfrm>
                    <a:prstGeom prst="rect">
                      <a:avLst/>
                    </a:prstGeom>
                    <a:noFill/>
                  </pic:spPr>
                </pic:pic>
              </a:graphicData>
            </a:graphic>
          </wp:anchor>
        </w:drawing>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5601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60185" cy="8890"/>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340"/>
          </w:cols>
          <w:pgMar w:left="780" w:top="1009" w:right="77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96"/>
        </w:trPr>
        <w:tc>
          <w:tcPr>
            <w:tcW w:w="52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191"/>
        </w:trPr>
        <w:tc>
          <w:tcPr>
            <w:tcW w:w="5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78"/>
        </w:trPr>
        <w:tc>
          <w:tcPr>
            <w:tcW w:w="52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206"/>
        </w:trPr>
        <w:tc>
          <w:tcPr>
            <w:tcW w:w="52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income</w:t>
            </w: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231,718</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149,454</w:t>
            </w:r>
          </w:p>
        </w:tc>
        <w:tc>
          <w:tcPr>
            <w:tcW w:w="4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114,610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33730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37300" cy="17145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4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189,157</w:t>
            </w:r>
          </w:p>
        </w:tc>
        <w:tc>
          <w:tcPr>
            <w:tcW w:w="56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161,488</w:t>
            </w:r>
          </w:p>
        </w:tc>
        <w:tc>
          <w:tcPr>
            <w:tcW w:w="56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149,123</w:t>
            </w:r>
          </w:p>
        </w:tc>
      </w:tr>
      <w:tr>
        <w:trPr>
          <w:trHeight w:val="221"/>
        </w:trPr>
        <w:tc>
          <w:tcPr>
            <w:tcW w:w="4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Cost of real estate sales</w:t>
            </w: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13,097</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15,724</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32,190</w:t>
            </w:r>
          </w:p>
        </w:tc>
      </w:tr>
      <w:tr>
        <w:trPr>
          <w:trHeight w:val="211"/>
        </w:trPr>
        <w:tc>
          <w:tcPr>
            <w:tcW w:w="4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18,315</w:t>
            </w:r>
          </w:p>
        </w:tc>
        <w:tc>
          <w:tcPr>
            <w:tcW w:w="56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17,025</w:t>
            </w:r>
          </w:p>
        </w:tc>
        <w:tc>
          <w:tcPr>
            <w:tcW w:w="5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15,753</w:t>
            </w:r>
          </w:p>
        </w:tc>
      </w:tr>
      <w:tr>
        <w:trPr>
          <w:trHeight w:val="221"/>
        </w:trPr>
        <w:tc>
          <w:tcPr>
            <w:tcW w:w="4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36,437</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7,626</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12,968</w:t>
            </w:r>
          </w:p>
        </w:tc>
      </w:tr>
      <w:tr>
        <w:trPr>
          <w:trHeight w:val="211"/>
        </w:trPr>
        <w:tc>
          <w:tcPr>
            <w:tcW w:w="4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Canyons obligation accreted interest expense</w:t>
            </w:r>
          </w:p>
        </w:tc>
        <w:tc>
          <w:tcPr>
            <w:tcW w:w="84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5,687</w:t>
            </w:r>
          </w:p>
        </w:tc>
        <w:tc>
          <w:tcPr>
            <w:tcW w:w="56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5,644</w:t>
            </w:r>
          </w:p>
        </w:tc>
        <w:tc>
          <w:tcPr>
            <w:tcW w:w="5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5,596</w:t>
            </w:r>
          </w:p>
        </w:tc>
      </w:tr>
      <w:tr>
        <w:trPr>
          <w:trHeight w:val="221"/>
        </w:trPr>
        <w:tc>
          <w:tcPr>
            <w:tcW w:w="4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Change in fair value of contingent consideration</w:t>
            </w: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16,300</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4,200</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(3,650)</w:t>
            </w:r>
          </w:p>
        </w:tc>
      </w:tr>
      <w:tr>
        <w:trPr>
          <w:trHeight w:val="211"/>
        </w:trPr>
        <w:tc>
          <w:tcPr>
            <w:tcW w:w="4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Foreign currency gain on intercompany loans</w:t>
            </w:r>
          </w:p>
        </w:tc>
        <w:tc>
          <w:tcPr>
            <w:tcW w:w="8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(15,285)</w:t>
            </w:r>
          </w:p>
        </w:tc>
        <w:tc>
          <w:tcPr>
            <w:tcW w:w="56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4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Gain on litigation settlement</w:t>
            </w: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(16,400)</w:t>
            </w:r>
          </w:p>
        </w:tc>
      </w:tr>
      <w:tr>
        <w:trPr>
          <w:trHeight w:val="211"/>
        </w:trPr>
        <w:tc>
          <w:tcPr>
            <w:tcW w:w="4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Park City litigation settlement payment</w:t>
            </w:r>
          </w:p>
        </w:tc>
        <w:tc>
          <w:tcPr>
            <w:tcW w:w="84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r>
      <w:tr>
        <w:trPr>
          <w:trHeight w:val="208"/>
        </w:trPr>
        <w:tc>
          <w:tcPr>
            <w:tcW w:w="4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Gain on sale of real property</w:t>
            </w: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(6,766)</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(5,295)</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r>
      <w:tr>
        <w:trPr>
          <w:trHeight w:val="211"/>
        </w:trPr>
        <w:tc>
          <w:tcPr>
            <w:tcW w:w="4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84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11,012</w:t>
            </w:r>
          </w:p>
        </w:tc>
      </w:tr>
      <w:tr>
        <w:trPr>
          <w:trHeight w:val="221"/>
        </w:trPr>
        <w:tc>
          <w:tcPr>
            <w:tcW w:w="4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Payment of tender premium</w:t>
            </w: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(8,636)</w:t>
            </w:r>
          </w:p>
        </w:tc>
      </w:tr>
      <w:tr>
        <w:trPr>
          <w:trHeight w:val="198"/>
        </w:trPr>
        <w:tc>
          <w:tcPr>
            <w:tcW w:w="4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non-cash income, net</w:t>
            </w:r>
          </w:p>
        </w:tc>
        <w:tc>
          <w:tcPr>
            <w:tcW w:w="8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(15,063)</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(8,044)</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(6,930)</w:t>
            </w:r>
          </w:p>
        </w:tc>
      </w:tr>
      <w:tr>
        <w:trPr>
          <w:trHeight w:val="198"/>
        </w:trPr>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Changes in assets and liabilities, net of effects of acquisitions:</w:t>
            </w:r>
          </w:p>
        </w:tc>
        <w:tc>
          <w:tcPr>
            <w:tcW w:w="8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78"/>
        </w:trPr>
        <w:tc>
          <w:tcPr>
            <w:tcW w:w="49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r>
      <w:tr>
        <w:trPr>
          <w:trHeight w:val="211"/>
        </w:trPr>
        <w:tc>
          <w:tcPr>
            <w:tcW w:w="4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Restricted cash</w:t>
            </w:r>
          </w:p>
        </w:tc>
        <w:tc>
          <w:tcPr>
            <w:tcW w:w="84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2,206</w:t>
            </w:r>
          </w:p>
        </w:tc>
        <w:tc>
          <w:tcPr>
            <w:tcW w:w="56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6,966</w:t>
            </w:r>
          </w:p>
        </w:tc>
        <w:tc>
          <w:tcPr>
            <w:tcW w:w="5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162</w:t>
            </w:r>
          </w:p>
        </w:tc>
      </w:tr>
      <w:tr>
        <w:trPr>
          <w:trHeight w:val="208"/>
        </w:trPr>
        <w:tc>
          <w:tcPr>
            <w:tcW w:w="4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Accounts receivable, net</w:t>
            </w: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(36,291)</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(32,991)</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(15,350)</w:t>
            </w:r>
          </w:p>
        </w:tc>
      </w:tr>
      <w:tr>
        <w:trPr>
          <w:trHeight w:val="211"/>
        </w:trPr>
        <w:tc>
          <w:tcPr>
            <w:tcW w:w="4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Inventories, net</w:t>
            </w:r>
          </w:p>
        </w:tc>
        <w:tc>
          <w:tcPr>
            <w:tcW w:w="84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8,086</w:t>
            </w: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w:t>
            </w:r>
          </w:p>
        </w:tc>
      </w:tr>
      <w:tr>
        <w:trPr>
          <w:trHeight w:val="221"/>
        </w:trPr>
        <w:tc>
          <w:tcPr>
            <w:tcW w:w="4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(14,177)</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42,367</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4,498</w:t>
            </w:r>
          </w:p>
        </w:tc>
      </w:tr>
      <w:tr>
        <w:trPr>
          <w:trHeight w:val="211"/>
        </w:trPr>
        <w:tc>
          <w:tcPr>
            <w:tcW w:w="4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Income taxes payable</w:t>
            </w:r>
          </w:p>
        </w:tc>
        <w:tc>
          <w:tcPr>
            <w:tcW w:w="84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18,076</w:t>
            </w:r>
          </w:p>
        </w:tc>
        <w:tc>
          <w:tcPr>
            <w:tcW w:w="56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56,553</w:t>
            </w:r>
          </w:p>
        </w:tc>
        <w:tc>
          <w:tcPr>
            <w:tcW w:w="5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41,783</w:t>
            </w:r>
          </w:p>
        </w:tc>
      </w:tr>
      <w:tr>
        <w:trPr>
          <w:trHeight w:val="216"/>
        </w:trPr>
        <w:tc>
          <w:tcPr>
            <w:tcW w:w="490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assets and liabilities, net</w:t>
            </w:r>
          </w:p>
        </w:tc>
        <w:tc>
          <w:tcPr>
            <w:tcW w:w="8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5,417</w:t>
            </w:r>
          </w:p>
        </w:tc>
        <w:tc>
          <w:tcPr>
            <w:tcW w:w="5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6,888</w:t>
            </w:r>
          </w:p>
        </w:tc>
        <w:tc>
          <w:tcPr>
            <w:tcW w:w="5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(21,614)</w:t>
            </w:r>
          </w:p>
        </w:tc>
      </w:tr>
      <w:tr>
        <w:trPr>
          <w:trHeight w:val="210"/>
        </w:trPr>
        <w:tc>
          <w:tcPr>
            <w:tcW w:w="49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4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456,914</w:t>
            </w:r>
          </w:p>
        </w:tc>
        <w:tc>
          <w:tcPr>
            <w:tcW w:w="56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426,762</w:t>
            </w:r>
          </w:p>
        </w:tc>
        <w:tc>
          <w:tcPr>
            <w:tcW w:w="5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303,660</w:t>
            </w:r>
          </w:p>
        </w:tc>
      </w:tr>
      <w:tr>
        <w:trPr>
          <w:trHeight w:val="198"/>
        </w:trPr>
        <w:tc>
          <w:tcPr>
            <w:tcW w:w="4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8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78"/>
        </w:trPr>
        <w:tc>
          <w:tcPr>
            <w:tcW w:w="49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r>
      <w:tr>
        <w:trPr>
          <w:trHeight w:val="198"/>
        </w:trPr>
        <w:tc>
          <w:tcPr>
            <w:tcW w:w="49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Capital expenditures</w:t>
            </w:r>
          </w:p>
        </w:tc>
        <w:tc>
          <w:tcPr>
            <w:tcW w:w="8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(144,432)</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(109,237)</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(123,884)</w:t>
            </w:r>
          </w:p>
        </w:tc>
      </w:tr>
      <w:tr>
        <w:trPr>
          <w:trHeight w:val="208"/>
        </w:trPr>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Acquisition of businesses, net of cash acquired</w:t>
            </w: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(553,220)</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(20,245)</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(307,051)</w:t>
            </w:r>
          </w:p>
        </w:tc>
      </w:tr>
      <w:tr>
        <w:trPr>
          <w:trHeight w:val="211"/>
        </w:trPr>
        <w:tc>
          <w:tcPr>
            <w:tcW w:w="49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received from sale of real property</w:t>
            </w:r>
          </w:p>
        </w:tc>
        <w:tc>
          <w:tcPr>
            <w:tcW w:w="84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7,992</w:t>
            </w:r>
          </w:p>
        </w:tc>
        <w:tc>
          <w:tcPr>
            <w:tcW w:w="56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7,386</w:t>
            </w:r>
          </w:p>
        </w:tc>
        <w:tc>
          <w:tcPr>
            <w:tcW w:w="5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2,541</w:t>
            </w:r>
          </w:p>
        </w:tc>
      </w:tr>
      <w:tr>
        <w:trPr>
          <w:trHeight w:val="216"/>
        </w:trPr>
        <w:tc>
          <w:tcPr>
            <w:tcW w:w="49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investing activities, net</w:t>
            </w:r>
          </w:p>
        </w:tc>
        <w:tc>
          <w:tcPr>
            <w:tcW w:w="8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6,824</w:t>
            </w:r>
          </w:p>
        </w:tc>
        <w:tc>
          <w:tcPr>
            <w:tcW w:w="5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w:t>
            </w:r>
          </w:p>
        </w:tc>
        <w:tc>
          <w:tcPr>
            <w:tcW w:w="5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1,326</w:t>
            </w:r>
          </w:p>
        </w:tc>
      </w:tr>
      <w:tr>
        <w:trPr>
          <w:trHeight w:val="196"/>
        </w:trPr>
        <w:tc>
          <w:tcPr>
            <w:tcW w:w="49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(682,836)</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(124,016)</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(427,068)</w:t>
            </w:r>
          </w:p>
        </w:tc>
      </w:tr>
      <w:tr>
        <w:trPr>
          <w:trHeight w:val="198"/>
        </w:trPr>
        <w:tc>
          <w:tcPr>
            <w:tcW w:w="4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8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78"/>
        </w:trPr>
        <w:tc>
          <w:tcPr>
            <w:tcW w:w="49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r>
      <w:tr>
        <w:trPr>
          <w:trHeight w:val="211"/>
        </w:trPr>
        <w:tc>
          <w:tcPr>
            <w:tcW w:w="49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Proceeds from borrowings under Vail Holdings Credit Agreement term loan</w:t>
            </w:r>
          </w:p>
        </w:tc>
        <w:tc>
          <w:tcPr>
            <w:tcW w:w="84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509,375</w:t>
            </w:r>
          </w:p>
        </w:tc>
        <w:tc>
          <w:tcPr>
            <w:tcW w:w="56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250,000</w:t>
            </w:r>
          </w:p>
        </w:tc>
      </w:tr>
      <w:tr>
        <w:trPr>
          <w:trHeight w:val="221"/>
        </w:trPr>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Proceeds from borrowings under Vail Holdings Credit Agreement revolver</w:t>
            </w: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160,000</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210,000</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438,000</w:t>
            </w:r>
          </w:p>
        </w:tc>
      </w:tr>
      <w:tr>
        <w:trPr>
          <w:trHeight w:val="211"/>
        </w:trPr>
        <w:tc>
          <w:tcPr>
            <w:tcW w:w="49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Proceeds from borrowings under Whistler Credit Agreement revolver</w:t>
            </w:r>
          </w:p>
        </w:tc>
        <w:tc>
          <w:tcPr>
            <w:tcW w:w="84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16,917</w:t>
            </w:r>
          </w:p>
        </w:tc>
        <w:tc>
          <w:tcPr>
            <w:tcW w:w="56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Repayments on tender of 6.50% Notes</w:t>
            </w: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(215,000)</w:t>
            </w:r>
          </w:p>
        </w:tc>
      </w:tr>
      <w:tr>
        <w:trPr>
          <w:trHeight w:val="211"/>
        </w:trPr>
        <w:tc>
          <w:tcPr>
            <w:tcW w:w="49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Repayments on tender of Industrial Development Bonds</w:t>
            </w:r>
          </w:p>
        </w:tc>
        <w:tc>
          <w:tcPr>
            <w:tcW w:w="84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(41,200)</w:t>
            </w:r>
          </w:p>
        </w:tc>
      </w:tr>
      <w:tr>
        <w:trPr>
          <w:trHeight w:val="221"/>
        </w:trPr>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Repayments of borrowings under Vail Holdings Credit Agreement term loan</w:t>
            </w: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(28,125)</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(9,375)</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49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Repayments of borrowings under Vail Holdings Credit Agreement revolver</w:t>
            </w:r>
          </w:p>
        </w:tc>
        <w:tc>
          <w:tcPr>
            <w:tcW w:w="8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(185,000)</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(320,000)</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(253,000)</w:t>
            </w:r>
          </w:p>
        </w:tc>
      </w:tr>
      <w:tr>
        <w:trPr>
          <w:trHeight w:val="221"/>
        </w:trPr>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Repayments of borrowings under Whistler Credit Agreement revolver</w:t>
            </w: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(53,889)</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11"/>
        </w:trPr>
        <w:tc>
          <w:tcPr>
            <w:tcW w:w="49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8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(53,787)</w:t>
            </w:r>
          </w:p>
        </w:tc>
        <w:tc>
          <w:tcPr>
            <w:tcW w:w="5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Dividends paid</w:t>
            </w: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(146,235)</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(103,835)</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(75,506)</w:t>
            </w:r>
          </w:p>
        </w:tc>
      </w:tr>
      <w:tr>
        <w:trPr>
          <w:trHeight w:val="211"/>
        </w:trPr>
        <w:tc>
          <w:tcPr>
            <w:tcW w:w="4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Other financing activities, net</w:t>
            </w:r>
          </w:p>
        </w:tc>
        <w:tc>
          <w:tcPr>
            <w:tcW w:w="8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(941)</w:t>
            </w: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5,780</w:t>
            </w: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11,957</w:t>
            </w:r>
          </w:p>
        </w:tc>
      </w:tr>
      <w:tr>
        <w:trPr>
          <w:trHeight w:val="210"/>
        </w:trPr>
        <w:tc>
          <w:tcPr>
            <w:tcW w:w="490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8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271,892</w:t>
            </w:r>
          </w:p>
        </w:tc>
        <w:tc>
          <w:tcPr>
            <w:tcW w:w="5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(271,217)</w:t>
            </w:r>
          </w:p>
        </w:tc>
        <w:tc>
          <w:tcPr>
            <w:tcW w:w="5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115,251</w:t>
            </w:r>
          </w:p>
        </w:tc>
      </w:tr>
      <w:tr>
        <w:trPr>
          <w:trHeight w:val="210"/>
        </w:trPr>
        <w:tc>
          <w:tcPr>
            <w:tcW w:w="49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84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3,522</w:t>
            </w:r>
          </w:p>
        </w:tc>
        <w:tc>
          <w:tcPr>
            <w:tcW w:w="56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909</w:t>
            </w: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w:t>
            </w:r>
          </w:p>
        </w:tc>
      </w:tr>
      <w:tr>
        <w:trPr>
          <w:trHeight w:val="221"/>
        </w:trPr>
        <w:tc>
          <w:tcPr>
            <w:tcW w:w="49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49,492</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32,438</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(8,947)</w:t>
            </w:r>
          </w:p>
        </w:tc>
      </w:tr>
      <w:tr>
        <w:trPr>
          <w:trHeight w:val="193"/>
        </w:trPr>
        <w:tc>
          <w:tcPr>
            <w:tcW w:w="4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78"/>
        </w:trPr>
        <w:tc>
          <w:tcPr>
            <w:tcW w:w="49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tcPr>
          <w:p>
            <w:pPr>
              <w:spacing w:after="0"/>
              <w:rPr>
                <w:sz w:val="6"/>
                <w:szCs w:val="6"/>
                <w:color w:val="auto"/>
              </w:rPr>
            </w:pPr>
          </w:p>
        </w:tc>
      </w:tr>
      <w:tr>
        <w:trPr>
          <w:trHeight w:val="211"/>
        </w:trPr>
        <w:tc>
          <w:tcPr>
            <w:tcW w:w="49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Beginning of period</w:t>
            </w:r>
          </w:p>
        </w:tc>
        <w:tc>
          <w:tcPr>
            <w:tcW w:w="84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67,897</w:t>
            </w:r>
          </w:p>
        </w:tc>
        <w:tc>
          <w:tcPr>
            <w:tcW w:w="56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35,459</w:t>
            </w: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44,406</w:t>
            </w:r>
          </w:p>
        </w:tc>
      </w:tr>
      <w:tr>
        <w:trPr>
          <w:trHeight w:val="222"/>
        </w:trPr>
        <w:tc>
          <w:tcPr>
            <w:tcW w:w="4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End of period</w:t>
            </w:r>
          </w:p>
        </w:tc>
        <w:tc>
          <w:tcPr>
            <w:tcW w:w="8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117,389</w:t>
            </w:r>
          </w:p>
        </w:tc>
        <w:tc>
          <w:tcPr>
            <w:tcW w:w="5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67,897</w:t>
            </w:r>
          </w:p>
        </w:tc>
        <w:tc>
          <w:tcPr>
            <w:tcW w:w="5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35,459</w:t>
            </w:r>
          </w:p>
        </w:tc>
      </w:tr>
      <w:tr>
        <w:trPr>
          <w:trHeight w:val="216"/>
        </w:trPr>
        <w:tc>
          <w:tcPr>
            <w:tcW w:w="4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paid for interest</w:t>
            </w:r>
          </w:p>
        </w:tc>
        <w:tc>
          <w:tcPr>
            <w:tcW w:w="8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46,454</w:t>
            </w:r>
          </w:p>
        </w:tc>
        <w:tc>
          <w:tcPr>
            <w:tcW w:w="56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33,243</w:t>
            </w:r>
          </w:p>
        </w:tc>
        <w:tc>
          <w:tcPr>
            <w:tcW w:w="56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46,483</w:t>
            </w:r>
          </w:p>
        </w:tc>
      </w:tr>
      <w:tr>
        <w:trPr>
          <w:trHeight w:val="211"/>
        </w:trPr>
        <w:tc>
          <w:tcPr>
            <w:tcW w:w="4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Taxes paid (refunded), net</w:t>
            </w:r>
          </w:p>
        </w:tc>
        <w:tc>
          <w:tcPr>
            <w:tcW w:w="84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49,373</w:t>
            </w:r>
          </w:p>
        </w:tc>
        <w:tc>
          <w:tcPr>
            <w:tcW w:w="5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21,994</w:t>
            </w:r>
          </w:p>
        </w:tc>
        <w:tc>
          <w:tcPr>
            <w:tcW w:w="56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(4,421)</w:t>
            </w:r>
          </w:p>
        </w:tc>
      </w:tr>
      <w:tr>
        <w:trPr>
          <w:trHeight w:val="198"/>
        </w:trPr>
        <w:tc>
          <w:tcPr>
            <w:tcW w:w="4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Non-cash investing activities:</w:t>
            </w:r>
          </w:p>
        </w:tc>
        <w:tc>
          <w:tcPr>
            <w:tcW w:w="8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78"/>
        </w:trPr>
        <w:tc>
          <w:tcPr>
            <w:tcW w:w="49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r>
      <w:tr>
        <w:trPr>
          <w:trHeight w:val="211"/>
        </w:trPr>
        <w:tc>
          <w:tcPr>
            <w:tcW w:w="4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Accrued capital expenditures</w:t>
            </w:r>
          </w:p>
        </w:tc>
        <w:tc>
          <w:tcPr>
            <w:tcW w:w="84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14,631</w:t>
            </w:r>
          </w:p>
        </w:tc>
        <w:tc>
          <w:tcPr>
            <w:tcW w:w="5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16,267</w:t>
            </w:r>
          </w:p>
        </w:tc>
        <w:tc>
          <w:tcPr>
            <w:tcW w:w="56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6,267</w:t>
            </w:r>
          </w:p>
        </w:tc>
      </w:tr>
      <w:tr>
        <w:trPr>
          <w:trHeight w:val="221"/>
        </w:trPr>
        <w:tc>
          <w:tcPr>
            <w:tcW w:w="4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Capital expenditures made under long-term financing</w:t>
            </w:r>
          </w:p>
        </w:tc>
        <w:tc>
          <w:tcPr>
            <w:tcW w:w="8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7,037</w:t>
            </w: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9980"/>
          </w:cols>
          <w:pgMar w:left="960" w:top="1009" w:right="95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9980"/>
          </w:cols>
          <w:pgMar w:left="960" w:top="1009" w:right="959" w:bottom="1440" w:gutter="0" w:footer="0" w:header="0"/>
          <w:type w:val="continuous"/>
        </w:sectPr>
      </w:pPr>
    </w:p>
    <w:bookmarkStart w:id="69" w:name="page70"/>
    <w:bookmarkEnd w:id="6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800" w:hanging="792"/>
        <w:spacing w:after="0"/>
        <w:tabs>
          <w:tab w:leader="none" w:pos="8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Business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Vail Resorts, Inc. (“Vail Resorts”) is organized as a holding company and operates through various subsidiaries. Vail Resorts and its consolidated subsidiaries (collectively, the “Company”) operate in three business segments: Mountain, Lodging and Real Estate. Resort is the combination of the Mountain and Lodging segments.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Mountain segment, the Company operates eleven world-class mountain resort properties and three urban ski areas including: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Mountain Resorts:</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Location:</w:t>
            </w:r>
          </w:p>
        </w:tc>
      </w:tr>
      <w:tr>
        <w:trPr>
          <w:trHeight w:val="27"/>
        </w:trPr>
        <w:tc>
          <w:tcPr>
            <w:tcW w:w="460" w:type="dxa"/>
            <w:vAlign w:val="bottom"/>
            <w:tcBorders>
              <w:bottom w:val="single" w:sz="8" w:color="auto"/>
            </w:tcBorders>
          </w:tcPr>
          <w:p>
            <w:pPr>
              <w:spacing w:after="0"/>
              <w:rPr>
                <w:sz w:val="2"/>
                <w:szCs w:val="2"/>
                <w:color w:val="auto"/>
              </w:rPr>
            </w:pPr>
          </w:p>
        </w:tc>
        <w:tc>
          <w:tcPr>
            <w:tcW w:w="6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44"/>
        </w:trPr>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Vail Mountain Resort (“Vail Mountain”)</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w:t>
            </w: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Breckenridge Ski Resort (“Breckenridge”)</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Colorado</w:t>
            </w:r>
          </w:p>
        </w:tc>
      </w:tr>
      <w:tr>
        <w:trPr>
          <w:trHeight w:val="27"/>
        </w:trPr>
        <w:tc>
          <w:tcPr>
            <w:tcW w:w="4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Keystone Resort (“Keystone”)</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w:t>
            </w: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Beaver Creek Resort (“Beaver Creek”)</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Colorado</w:t>
            </w:r>
          </w:p>
        </w:tc>
      </w:tr>
      <w:tr>
        <w:trPr>
          <w:trHeight w:val="27"/>
        </w:trPr>
        <w:tc>
          <w:tcPr>
            <w:tcW w:w="4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Park City Resort (“Park City”)</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Utah</w:t>
            </w:r>
          </w:p>
        </w:tc>
      </w:tr>
      <w:tr>
        <w:trPr>
          <w:trHeight w:val="243"/>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w:t>
            </w: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Heavenly Mountain Resort (“Heavenly”)</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Lake Tahoe area of Nevada and California</w:t>
            </w:r>
          </w:p>
        </w:tc>
      </w:tr>
      <w:tr>
        <w:trPr>
          <w:trHeight w:val="27"/>
        </w:trPr>
        <w:tc>
          <w:tcPr>
            <w:tcW w:w="4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Northstar Resort (“Northstar”)</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Lake Tahoe area of California</w:t>
            </w:r>
          </w:p>
        </w:tc>
      </w:tr>
      <w:tr>
        <w:trPr>
          <w:trHeight w:val="243"/>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w:t>
            </w: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Kirkwood Mountain Resort (“Kirkwood”)</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Lake Tahoe area of California</w:t>
            </w:r>
          </w:p>
        </w:tc>
      </w:tr>
      <w:tr>
        <w:trPr>
          <w:trHeight w:val="27"/>
        </w:trPr>
        <w:tc>
          <w:tcPr>
            <w:tcW w:w="4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Perisher Ski Resort (“Perisher”)</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New South Wales, Australia</w:t>
            </w:r>
          </w:p>
        </w:tc>
      </w:tr>
      <w:tr>
        <w:trPr>
          <w:trHeight w:val="243"/>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w:t>
            </w: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Whistler Blackcomb Resort (“Whistler Blackcomb”)</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British Columbia, Canada</w:t>
            </w:r>
          </w:p>
        </w:tc>
      </w:tr>
      <w:tr>
        <w:trPr>
          <w:trHeight w:val="27"/>
        </w:trPr>
        <w:tc>
          <w:tcPr>
            <w:tcW w:w="4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Stowe Mountain Resort (“Stowe”)</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Vermont</w:t>
            </w:r>
          </w:p>
        </w:tc>
      </w:tr>
      <w:tr>
        <w:trPr>
          <w:trHeight w:val="243"/>
        </w:trPr>
        <w:tc>
          <w:tcPr>
            <w:tcW w:w="7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Urban Ski Areas (“Urban”):</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Location:</w:t>
            </w:r>
          </w:p>
        </w:tc>
      </w:tr>
      <w:tr>
        <w:trPr>
          <w:trHeight w:val="27"/>
        </w:trPr>
        <w:tc>
          <w:tcPr>
            <w:tcW w:w="460" w:type="dxa"/>
            <w:vAlign w:val="bottom"/>
            <w:tcBorders>
              <w:bottom w:val="single" w:sz="8" w:color="auto"/>
            </w:tcBorders>
          </w:tcPr>
          <w:p>
            <w:pPr>
              <w:spacing w:after="0"/>
              <w:rPr>
                <w:sz w:val="2"/>
                <w:szCs w:val="2"/>
                <w:color w:val="auto"/>
              </w:rPr>
            </w:pPr>
          </w:p>
        </w:tc>
        <w:tc>
          <w:tcPr>
            <w:tcW w:w="6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44"/>
        </w:trPr>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w:t>
            </w: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Wilmot Mountain (“Wilmot”)</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Wisconsin</w:t>
            </w:r>
          </w:p>
        </w:tc>
      </w:tr>
      <w:tr>
        <w:trPr>
          <w:trHeight w:val="243"/>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w:t>
            </w: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Afton Alps Ski Area (“Afton Alps”)</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Minnesota</w:t>
            </w:r>
          </w:p>
        </w:tc>
      </w:tr>
      <w:tr>
        <w:trPr>
          <w:trHeight w:val="27"/>
        </w:trPr>
        <w:tc>
          <w:tcPr>
            <w:tcW w:w="4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43"/>
        </w:trPr>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w:t>
            </w:r>
          </w:p>
        </w:tc>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Mount Brighton Ski Area (“Mt. Brighton”)</w:t>
            </w:r>
          </w:p>
        </w:tc>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Michigan</w:t>
            </w:r>
          </w:p>
        </w:tc>
      </w:tr>
      <w:tr>
        <w:trPr>
          <w:trHeight w:val="27"/>
        </w:trPr>
        <w:tc>
          <w:tcPr>
            <w:tcW w:w="460" w:type="dxa"/>
            <w:vAlign w:val="bottom"/>
            <w:shd w:val="clear" w:color="auto" w:fill="CCEEFF"/>
          </w:tcPr>
          <w:p>
            <w:pPr>
              <w:spacing w:after="0"/>
              <w:rPr>
                <w:sz w:val="2"/>
                <w:szCs w:val="2"/>
                <w:color w:val="auto"/>
              </w:rPr>
            </w:pPr>
          </w:p>
        </w:tc>
        <w:tc>
          <w:tcPr>
            <w:tcW w:w="6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the Mountain segment includes ancillary services, primarily including ski school, dining and retail/rental operations, and for Perisher including lodging and transportation operations. The resorts located in the United States (“U.S.”), except for Northstar, Park City, Stowe and the Urban ski areas, operate primarily on federal land under the terms of Special Use Permits granted by the U.S. Department of Agriculture Forest Service. The operations of Whistler Blackcomb are conducted on land owned by the government of the Province of British Columbia, Canada within the traditional territory of the Squamish and Lil’wat Nations. The operations of Perisher are conducted pursuant to a long-term lease and license on land owned by the government of New South Wales, Australia. Stowe operates on land owned by the Company as well as land it leases from the State of Vermont.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Lodging segment, the Company owns and/or manages a collection of luxury hotels and condominiums under its RockResorts brand, as well as other strategic lodging properties and a large number of condominiums located in proximity to the Company’s North American mountain resorts, National Park Service (“NPS”) concessionaire properties including the Grand Teton Lodge Company (“GTLC”), which operates destination resorts in Grand Teton National Park, Colorado Mountain Express (“CME”), a Colorado resort ground transportation company, and mountain resort golf courses.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Vail Resorts Development Company (“VRDC”), a wholly-owned subsidiary, conducts the operations of the Company’s Real Estate segment, which owns, develops and sells real estate in and around the Company’s resort communities.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mountain business and its lodging properties at or around the Company’s mountain resorts are seasonal in nature with peak operating seasons primarily from mid-November through mid-April in North America. The Company’s operating season at Perisher, its NPS concessionaire properties and its golf courses generally occur from June to early October.</w:t>
      </w:r>
    </w:p>
    <w:p>
      <w:pPr>
        <w:spacing w:after="0" w:line="172"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Financial Statement Presentation-- </w:t>
      </w:r>
      <w:r>
        <w:rPr>
          <w:rFonts w:ascii="Times New Roman" w:cs="Times New Roman" w:eastAsia="Times New Roman" w:hAnsi="Times New Roman"/>
          <w:sz w:val="18"/>
          <w:szCs w:val="18"/>
          <w:color w:val="auto"/>
        </w:rPr>
        <w:t>The Consolidated Statements of Operations for the years ended July 31, 2016 and 2015 have been revised to separately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disclose revenues and costs from retail and dining operations, as well as general and administrative costs. Retail and dining revenues were previously included within Mountain and Lodging revenues, and the related costs were previously included in Mountain and Lodging operating costs. Management considers the change in presentation of our Consolidated Statement of Operations to be immaterial to all periods presented. There is no change to previously reported total</w:t>
      </w:r>
    </w:p>
    <w:p>
      <w:pPr>
        <w:sectPr>
          <w:pgSz w:w="11900" w:h="16838" w:orient="portrait"/>
          <w:cols w:equalWidth="0" w:num="1">
            <w:col w:w="11420"/>
          </w:cols>
          <w:pgMar w:left="240" w:top="1008" w:right="2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008" w:right="2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net revenue, operating expense, income from operations, net income attributable to Vail Resorts, Inc., per share amounts or segment results.</w:t>
      </w:r>
    </w:p>
    <w:p>
      <w:pPr>
        <w:spacing w:after="0" w:line="1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The accompanying Consolidated Financial Statements include the accounts of the Company, its consolidated subsidiaries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 Company has a controlling financial interest. Investments in which the Company does not have a controlling financial interest are accounted for under the equity method. All significant intercompany transactions have been eliminated in consolidation.</w:t>
      </w:r>
    </w:p>
    <w:p>
      <w:pPr>
        <w:spacing w:after="0" w:line="12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The Company considers all highly liquid investments with maturities of three months or less at the date of purchase to be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Accounts receivable</w:t>
      </w:r>
      <w:r>
        <w:rPr>
          <w:rFonts w:ascii="Times New Roman" w:cs="Times New Roman" w:eastAsia="Times New Roman" w:hAnsi="Times New Roman"/>
          <w:sz w:val="18"/>
          <w:szCs w:val="18"/>
          <w:color w:val="auto"/>
        </w:rPr>
        <w:t>-- The Company records trade accounts receivable in the normal course of business related to the sale of products or services.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generally charges interest on past due accounts at a rate of 18% per annum. The allowance for doubtful accounts is based on a specific reserve analysis and on a percentage of accounts receivable and takes into consideration such factors as historical write-offs, the economic climate and other factors that could affect collectability. Write-offs are evaluated on a case by case basis.</w:t>
      </w:r>
    </w:p>
    <w:p>
      <w:pPr>
        <w:spacing w:after="0" w:line="1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The Company’s inventories consist primarily of purchased retail goods, food and beverage items and spare parts. Inventories are stated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of cost or fair value, determined using primarily an average weighted cost method. The Company records a reserve for estimated shrinkage and obsolete or unusable inventory.</w:t>
      </w:r>
    </w:p>
    <w:p>
      <w:pPr>
        <w:spacing w:after="0" w:line="1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Property, Plant and Equipment-- </w:t>
      </w:r>
      <w:r>
        <w:rPr>
          <w:rFonts w:ascii="Times New Roman" w:cs="Times New Roman" w:eastAsia="Times New Roman" w:hAnsi="Times New Roman"/>
          <w:sz w:val="18"/>
          <w:szCs w:val="18"/>
          <w:color w:val="auto"/>
        </w:rPr>
        <w:t>Property, plant and equipment is carried at cost net of accumulated depreciation. Repairs and maintenance are expensed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Expenditures that improve the functionality of the related asset or extend the useful life are capitalized. When property, plant and equipment is retired or otherwise disposed of, the related gain or loss is included in operating income. Leasehold improvements are amortized on the straight-line method over the shorter of the remaining lease term or estimated useful life of the asset. Depreciation is calculated on the straight-line method, including property, plant and equipment under capital leases, generally based on the following useful lives: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5240" w:type="dxa"/>
            <w:vAlign w:val="bottom"/>
          </w:tcPr>
          <w:p>
            <w:pPr>
              <w:jc w:val="center"/>
              <w:ind w:left="2650"/>
              <w:spacing w:after="0"/>
              <w:rPr>
                <w:sz w:val="20"/>
                <w:szCs w:val="20"/>
                <w:color w:val="auto"/>
              </w:rPr>
            </w:pPr>
            <w:r>
              <w:rPr>
                <w:rFonts w:ascii="Times New Roman" w:cs="Times New Roman" w:eastAsia="Times New Roman" w:hAnsi="Times New Roman"/>
                <w:sz w:val="18"/>
                <w:szCs w:val="18"/>
                <w:b w:val="1"/>
                <w:bCs w:val="1"/>
                <w:color w:val="auto"/>
              </w:rPr>
              <w:t>Estimated Life</w:t>
            </w:r>
          </w:p>
        </w:tc>
      </w:tr>
      <w:tr>
        <w:trPr>
          <w:trHeight w:val="238"/>
        </w:trPr>
        <w:tc>
          <w:tcPr>
            <w:tcW w:w="6180" w:type="dxa"/>
            <w:vAlign w:val="bottom"/>
          </w:tcPr>
          <w:p>
            <w:pPr>
              <w:spacing w:after="0"/>
              <w:rPr>
                <w:sz w:val="20"/>
                <w:szCs w:val="20"/>
                <w:color w:val="auto"/>
              </w:rPr>
            </w:pPr>
          </w:p>
        </w:tc>
        <w:tc>
          <w:tcPr>
            <w:tcW w:w="5240" w:type="dxa"/>
            <w:vAlign w:val="bottom"/>
          </w:tcPr>
          <w:p>
            <w:pPr>
              <w:jc w:val="center"/>
              <w:ind w:left="2650"/>
              <w:spacing w:after="0"/>
              <w:rPr>
                <w:sz w:val="20"/>
                <w:szCs w:val="20"/>
                <w:color w:val="auto"/>
              </w:rPr>
            </w:pPr>
            <w:r>
              <w:rPr>
                <w:rFonts w:ascii="Times New Roman" w:cs="Times New Roman" w:eastAsia="Times New Roman" w:hAnsi="Times New Roman"/>
                <w:sz w:val="18"/>
                <w:szCs w:val="18"/>
                <w:b w:val="1"/>
                <w:bCs w:val="1"/>
                <w:color w:val="auto"/>
                <w:w w:val="96"/>
              </w:rPr>
              <w:t>in Years</w:t>
            </w:r>
          </w:p>
        </w:tc>
      </w:tr>
      <w:tr>
        <w:trPr>
          <w:trHeight w:val="27"/>
        </w:trPr>
        <w:tc>
          <w:tcPr>
            <w:tcW w:w="618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improvements</w:t>
            </w:r>
          </w:p>
        </w:tc>
        <w:tc>
          <w:tcPr>
            <w:tcW w:w="5240" w:type="dxa"/>
            <w:vAlign w:val="bottom"/>
            <w:tcBorders>
              <w:bottom w:val="single" w:sz="8" w:color="CCEEFF"/>
            </w:tcBorders>
            <w:shd w:val="clear" w:color="auto" w:fill="CCEEFF"/>
          </w:tcPr>
          <w:p>
            <w:pPr>
              <w:jc w:val="center"/>
              <w:ind w:left="2650"/>
              <w:spacing w:after="0"/>
              <w:rPr>
                <w:sz w:val="20"/>
                <w:szCs w:val="20"/>
                <w:color w:val="auto"/>
              </w:rPr>
            </w:pPr>
            <w:r>
              <w:rPr>
                <w:rFonts w:ascii="Times New Roman" w:cs="Times New Roman" w:eastAsia="Times New Roman" w:hAnsi="Times New Roman"/>
                <w:sz w:val="18"/>
                <w:szCs w:val="18"/>
                <w:color w:val="auto"/>
                <w:w w:val="99"/>
              </w:rPr>
              <w:t>10-35</w:t>
            </w: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5240" w:type="dxa"/>
            <w:vAlign w:val="bottom"/>
          </w:tcPr>
          <w:p>
            <w:pPr>
              <w:jc w:val="center"/>
              <w:ind w:left="2650"/>
              <w:spacing w:after="0"/>
              <w:rPr>
                <w:sz w:val="20"/>
                <w:szCs w:val="20"/>
                <w:color w:val="auto"/>
              </w:rPr>
            </w:pPr>
            <w:r>
              <w:rPr>
                <w:rFonts w:ascii="Times New Roman" w:cs="Times New Roman" w:eastAsia="Times New Roman" w:hAnsi="Times New Roman"/>
                <w:sz w:val="18"/>
                <w:szCs w:val="18"/>
                <w:color w:val="auto"/>
              </w:rPr>
              <w:t>7-30</w:t>
            </w:r>
          </w:p>
        </w:tc>
      </w:tr>
      <w:tr>
        <w:trPr>
          <w:trHeight w:val="27"/>
        </w:trPr>
        <w:tc>
          <w:tcPr>
            <w:tcW w:w="618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5240" w:type="dxa"/>
            <w:vAlign w:val="bottom"/>
            <w:tcBorders>
              <w:bottom w:val="single" w:sz="8" w:color="CCEEFF"/>
            </w:tcBorders>
            <w:shd w:val="clear" w:color="auto" w:fill="CCEEFF"/>
          </w:tcPr>
          <w:p>
            <w:pPr>
              <w:jc w:val="center"/>
              <w:ind w:left="2650"/>
              <w:spacing w:after="0"/>
              <w:rPr>
                <w:sz w:val="20"/>
                <w:szCs w:val="20"/>
                <w:color w:val="auto"/>
              </w:rPr>
            </w:pPr>
            <w:r>
              <w:rPr>
                <w:rFonts w:ascii="Times New Roman" w:cs="Times New Roman" w:eastAsia="Times New Roman" w:hAnsi="Times New Roman"/>
                <w:sz w:val="18"/>
                <w:szCs w:val="18"/>
                <w:color w:val="auto"/>
              </w:rPr>
              <w:t>2-30</w:t>
            </w: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Furniture and fixtures</w:t>
            </w:r>
          </w:p>
        </w:tc>
        <w:tc>
          <w:tcPr>
            <w:tcW w:w="5240" w:type="dxa"/>
            <w:vAlign w:val="bottom"/>
          </w:tcPr>
          <w:p>
            <w:pPr>
              <w:jc w:val="center"/>
              <w:ind w:left="2650"/>
              <w:spacing w:after="0"/>
              <w:rPr>
                <w:sz w:val="20"/>
                <w:szCs w:val="20"/>
                <w:color w:val="auto"/>
              </w:rPr>
            </w:pPr>
            <w:r>
              <w:rPr>
                <w:rFonts w:ascii="Times New Roman" w:cs="Times New Roman" w:eastAsia="Times New Roman" w:hAnsi="Times New Roman"/>
                <w:sz w:val="18"/>
                <w:szCs w:val="18"/>
                <w:color w:val="auto"/>
              </w:rPr>
              <w:t>3-10</w:t>
            </w:r>
          </w:p>
        </w:tc>
      </w:tr>
      <w:tr>
        <w:trPr>
          <w:trHeight w:val="27"/>
        </w:trPr>
        <w:tc>
          <w:tcPr>
            <w:tcW w:w="618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Software</w:t>
            </w:r>
          </w:p>
        </w:tc>
        <w:tc>
          <w:tcPr>
            <w:tcW w:w="5240" w:type="dxa"/>
            <w:vAlign w:val="bottom"/>
            <w:tcBorders>
              <w:bottom w:val="single" w:sz="8" w:color="CCEEFF"/>
            </w:tcBorders>
            <w:shd w:val="clear" w:color="auto" w:fill="CCEEFF"/>
          </w:tcPr>
          <w:p>
            <w:pPr>
              <w:jc w:val="center"/>
              <w:ind w:left="2650"/>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Vehicles</w:t>
            </w:r>
          </w:p>
        </w:tc>
        <w:tc>
          <w:tcPr>
            <w:tcW w:w="5240" w:type="dxa"/>
            <w:vAlign w:val="bottom"/>
          </w:tcPr>
          <w:p>
            <w:pPr>
              <w:jc w:val="center"/>
              <w:ind w:left="2650"/>
              <w:spacing w:after="0"/>
              <w:rPr>
                <w:sz w:val="20"/>
                <w:szCs w:val="20"/>
                <w:color w:val="auto"/>
              </w:rPr>
            </w:pPr>
            <w:r>
              <w:rPr>
                <w:rFonts w:ascii="Times New Roman" w:cs="Times New Roman" w:eastAsia="Times New Roman" w:hAnsi="Times New Roman"/>
                <w:sz w:val="18"/>
                <w:szCs w:val="18"/>
                <w:color w:val="auto"/>
              </w:rPr>
              <w:t>3-10</w:t>
            </w:r>
          </w:p>
        </w:tc>
      </w:tr>
    </w:tbl>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Real Estate Held for Sale and Investment</w:t>
      </w:r>
      <w:r>
        <w:rPr>
          <w:rFonts w:ascii="Times New Roman" w:cs="Times New Roman" w:eastAsia="Times New Roman" w:hAnsi="Times New Roman"/>
          <w:sz w:val="18"/>
          <w:szCs w:val="18"/>
          <w:color w:val="auto"/>
        </w:rPr>
        <w:t>-- The Company capitalizes as real estate held for sale and investment the original land acquisition cost,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construction and development costs, property taxes, interest recorded on costs related to real estate under development and other related costs. Additionally, the Company records depreciation on completed condominium units that are placed in rental programs until such units are sold. Sales and marketing expenses are charged against income in the period incurred. Sales commission expenses are charged against income in the period that the related revenue from real estate sales is recorded.</w:t>
      </w:r>
    </w:p>
    <w:p>
      <w:pPr>
        <w:spacing w:after="0" w:line="1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Deferred Financing Costs-- </w:t>
      </w:r>
      <w:r>
        <w:rPr>
          <w:rFonts w:ascii="Times New Roman" w:cs="Times New Roman" w:eastAsia="Times New Roman" w:hAnsi="Times New Roman"/>
          <w:sz w:val="18"/>
          <w:szCs w:val="18"/>
          <w:color w:val="auto"/>
        </w:rPr>
        <w:t>Certain costs incurred with the issuance of debt securities are capitalized and included as a reduction in the net carrying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long-term debt, net of accumulated amortization, with the exception of costs incurred related to line-of-credit arrangements, which are included in deferred charges and other assets, net of accumulated amortization. Amortization is charged to interest expense over the respective term of the applicable debt issues. When debt is extinguished prior to its maturity date, the amortization of the remaining unamortized deferred financing costs, or pro-rata portion thereof, is charged to loss on extinguishment of debt.</w:t>
      </w:r>
    </w:p>
    <w:p>
      <w:pPr>
        <w:spacing w:after="0" w:line="1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The Company has classified as goodwill the cost in excess of estimated fair value of the net assets of businesses acquired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transactions. The Company’s major intangible asset classes are trademarks, water rights, customer lists, property management contracts, Forest Service permits and excess reorganization value. Goodwill and various indefinite-lived intangible assets, including excess reorganization value and certain trademarks and water rights, are not amortized but are subject to at least annual impairment testing. The Company tests annually (or more often, if necessary) for impairment as of May 1. Amortizable intangible assets are amortized over the shorter of their contractual terms or estimated useful lives.</w:t>
      </w:r>
    </w:p>
    <w:p>
      <w:pPr>
        <w:spacing w:after="0" w:line="12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testing for impairment consists of a comparison of the estimated fair value of the assets with their net carrying values. If the net carrying amount of the assets exceed its estimated fair value, an impairment will be recognized for indefinite-lived intangibles,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175" w:right="239" w:bottom="1440" w:gutter="0" w:footer="0" w:header="0"/>
        </w:sectPr>
      </w:pPr>
    </w:p>
    <w:bookmarkStart w:id="71" w:name="page72"/>
    <w:bookmarkEnd w:id="71"/>
    <w:p>
      <w:pPr>
        <w:jc w:val="both"/>
        <w:spacing w:after="0" w:line="254" w:lineRule="auto"/>
        <w:rPr>
          <w:sz w:val="20"/>
          <w:szCs w:val="20"/>
          <w:color w:val="auto"/>
        </w:rPr>
      </w:pPr>
      <w:r>
        <w:rPr>
          <w:rFonts w:ascii="Times New Roman" w:cs="Times New Roman" w:eastAsia="Times New Roman" w:hAnsi="Times New Roman"/>
          <w:sz w:val="18"/>
          <w:szCs w:val="18"/>
          <w:color w:val="auto"/>
        </w:rPr>
        <w:t>excluding goodwill, in an amount equal to that excess. To the extent the net carrying amount of goodwill assigned to a reporting unit exceeds its estimated fair value, an impairment may be recognized based on a hypothetical purchase price allocation of the estimated fair value to the underlying assets and liabilities of the reporting unit. If the net carrying amount of the assets does not exceed the estimated fair value, no impairment loss is recognized. For the testing of goodwill for impairment, the Company performs a qualitative analysis to determine whether it is more likely than not that the fair value of a reporting unit exceeds the carrying amount. If it is determined, based on qualitative factors, that the fair value of the reporting unit may be more likely than not less than carrying amount, or if significant changes to macro-economic factors related to the reporting unit have occurred that could materially impact fair value, a quantitative goodwill impairment test would be required, in which the Company determines the estimated fair value of its reporting units using discounted cash flow analyses. The estimated fair value of indefinite-lived intangible assets is estimated using an income approach. The Company determined that there was no impairment to goodwill definite or indefinite-lived intangible assets for the years ended July 31, 2017, 2016 and 2015.</w:t>
      </w:r>
    </w:p>
    <w:p>
      <w:pPr>
        <w:spacing w:after="0" w:line="1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Long-lived Assets-- </w:t>
      </w:r>
      <w:r>
        <w:rPr>
          <w:rFonts w:ascii="Times New Roman" w:cs="Times New Roman" w:eastAsia="Times New Roman" w:hAnsi="Times New Roman"/>
          <w:sz w:val="18"/>
          <w:szCs w:val="18"/>
          <w:color w:val="auto"/>
        </w:rPr>
        <w:t>The Company evaluates potential impairment of long-lived assets and long-lived assets to be disposed of whenever events or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indicate that the net carrying amount of an asset may not be fully recoverable. If the sum of the expected cash flows, on an undiscounted basis, is less than the net carrying amount of the asset, an impairment loss is recognized in the amount by which the net carrying amount of the asset exceeds its estimated fair value. The Company does not believe any events or changes in circumstances indicating an impairment of the net carrying amount of a long-lived asset occurred during the years ended July 31, 2017, 2016 and 2015.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The following describes the composition of revenues for the Company:</w:t>
      </w:r>
    </w:p>
    <w:p>
      <w:pPr>
        <w:spacing w:after="0" w:line="200" w:lineRule="exact"/>
        <w:rPr>
          <w:sz w:val="20"/>
          <w:szCs w:val="20"/>
          <w:color w:val="auto"/>
        </w:rPr>
      </w:pPr>
    </w:p>
    <w:p>
      <w:pPr>
        <w:ind w:left="500" w:hanging="330"/>
        <w:spacing w:after="0" w:line="256" w:lineRule="auto"/>
        <w:tabs>
          <w:tab w:leader="none" w:pos="33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Mountain revenue is derived from a wide variety of sources, including, among other things, sales of lift tickets (including season passes), ski school operations, other on-mountain activities, dining operations, retail sales, equipment rentals, private ski club amortized initiation fees and dues, marketing and internet advertising, commercial leasing, employee housing, municipal services and lodging and transportation operations at Perisher, and is recognized as products are delivered or services are performed. The Company records deferred revenue related to the sale of season ski passes. The number of season pass holder visits is estimated based on historical data and the deferred revenue is recognized throughout the ski season based on this estimate, or on a straight-line basis if usage patterns cannot be determined based on available historical data.</w:t>
      </w:r>
    </w:p>
    <w:p>
      <w:pPr>
        <w:spacing w:after="0" w:line="79" w:lineRule="exact"/>
        <w:rPr>
          <w:rFonts w:ascii="Times New Roman" w:cs="Times New Roman" w:eastAsia="Times New Roman" w:hAnsi="Times New Roman"/>
          <w:sz w:val="18"/>
          <w:szCs w:val="18"/>
          <w:color w:val="auto"/>
        </w:rPr>
      </w:pPr>
    </w:p>
    <w:p>
      <w:pPr>
        <w:ind w:left="500" w:hanging="330"/>
        <w:spacing w:after="0" w:line="255" w:lineRule="auto"/>
        <w:tabs>
          <w:tab w:leader="none" w:pos="33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non-refundable private club initiation fees is recognized over the estimated life of the facilities on a straight-line basis upon inception of the club. As of July 31, 2017, the weighted average remaining period over which the private club initiation fees will be recognized is approximately 13 years. Additionally, certain club initiation fees are refundable in 30 years after the date of acceptance of a member. Under these memberships, the difference between the amount paid by the member and the present value of the refund obligation is recorded as deferred initiation fee revenue in the Company’s Consolidated Balance Sheets and recognized as revenue on a straight-line basis over 30 years. The present value of the refund obligation is recorded as an initiation deposit liability and accretes over the nonrefundable term using the effective interest method. The accretion is included in interest expense.</w:t>
      </w:r>
    </w:p>
    <w:p>
      <w:pPr>
        <w:spacing w:after="0" w:line="81" w:lineRule="exact"/>
        <w:rPr>
          <w:rFonts w:ascii="Times New Roman" w:cs="Times New Roman" w:eastAsia="Times New Roman" w:hAnsi="Times New Roman"/>
          <w:sz w:val="18"/>
          <w:szCs w:val="18"/>
          <w:color w:val="auto"/>
        </w:rPr>
      </w:pPr>
    </w:p>
    <w:p>
      <w:pPr>
        <w:ind w:left="500" w:hanging="330"/>
        <w:spacing w:after="0" w:line="258" w:lineRule="auto"/>
        <w:tabs>
          <w:tab w:leader="none" w:pos="33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Lodging revenue is derived from a wide variety of sources, including, among other things, hotel operations, dining operations, property management services, managed hotel property payroll cost reimbursements, private golf club amortized initiation fees and dues, transportation services and golf course greens fees, and is recognized as products are delivered or services are performed. Revenue from payroll cost reimbursements relates to payroll costs of managed hotel properties where the Company is the employer. The reimbursements are based upon the costs incurred with no added margin; therefore, these revenues and corresponding expenses have no net effect on the Company’s operating income or net income.</w:t>
      </w:r>
    </w:p>
    <w:p>
      <w:pPr>
        <w:spacing w:after="0" w:line="75" w:lineRule="exact"/>
        <w:rPr>
          <w:rFonts w:ascii="Times New Roman" w:cs="Times New Roman" w:eastAsia="Times New Roman" w:hAnsi="Times New Roman"/>
          <w:sz w:val="18"/>
          <w:szCs w:val="18"/>
          <w:color w:val="auto"/>
        </w:rPr>
      </w:pPr>
    </w:p>
    <w:p>
      <w:pPr>
        <w:ind w:left="500" w:hanging="330"/>
        <w:spacing w:after="0" w:line="258" w:lineRule="auto"/>
        <w:tabs>
          <w:tab w:leader="none" w:pos="33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revenue primarily includes the sale of land parcels and condominium units (of which the Company had sold-out of available condominium units as of July 31, 2017) and is recorded primarily using the full accrual method and occurs only upon the following: (i) substantial completion of the entire development project, if applicable, (ii) receipt of certificates of occupancy or temporary certificates of occupancy from local governmental agencies, if applicable, (iii) closing of the sales transaction including receipt of all, or substantially all, sales proceeds (including any deposits previously received) and (iv) transfer of ownership.</w:t>
      </w:r>
    </w:p>
    <w:p>
      <w:pPr>
        <w:spacing w:after="0" w:line="23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Real Estate Cost of Sales-- </w:t>
      </w:r>
      <w:r>
        <w:rPr>
          <w:rFonts w:ascii="Times New Roman" w:cs="Times New Roman" w:eastAsia="Times New Roman" w:hAnsi="Times New Roman"/>
          <w:sz w:val="18"/>
          <w:szCs w:val="18"/>
          <w:color w:val="auto"/>
        </w:rPr>
        <w:t>Costs of real estate transactions include direct project costs, common cost allocations (primarily determined on relative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and sales commission expense. The Company utilizes the relative sales value method to determine cost of sales for condominium units sold within a project when specific identification of costs cannot be reasonably determined.</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Translation -- </w:t>
      </w:r>
      <w:r>
        <w:rPr>
          <w:rFonts w:ascii="Times New Roman" w:cs="Times New Roman" w:eastAsia="Times New Roman" w:hAnsi="Times New Roman"/>
          <w:sz w:val="18"/>
          <w:szCs w:val="18"/>
          <w:color w:val="auto"/>
        </w:rPr>
        <w:t>The functional currency of the Company’s entities operating outside of the United States is the principal currency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economic environment in which the entity primarily generates and expends cash, which is the local currency. The assets and liabilities of these foreign operations are translated at the exchange rate in effect as of the balance sheet dates. Income and expense items are translated using the weighted average exchange rate for the period. Translation adjustments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1175" w:right="239" w:bottom="1440" w:gutter="0" w:footer="0" w:header="0"/>
        </w:sectPr>
      </w:pPr>
    </w:p>
    <w:bookmarkStart w:id="72" w:name="page73"/>
    <w:bookmarkEnd w:id="72"/>
    <w:p>
      <w:pPr>
        <w:jc w:val="both"/>
        <w:spacing w:after="0" w:line="261" w:lineRule="auto"/>
        <w:rPr>
          <w:sz w:val="20"/>
          <w:szCs w:val="20"/>
          <w:color w:val="auto"/>
        </w:rPr>
      </w:pPr>
      <w:r>
        <w:rPr>
          <w:rFonts w:ascii="Times New Roman" w:cs="Times New Roman" w:eastAsia="Times New Roman" w:hAnsi="Times New Roman"/>
          <w:sz w:val="18"/>
          <w:szCs w:val="18"/>
          <w:color w:val="auto"/>
        </w:rPr>
        <w:t>from currency exchange, including intercompany transactions of a long-term nature, are recorded in accumulated other comprehensive income (loss) as a separate component of stockholders’ equity. Intercompany transactions that are not of a long-term nature are reported as gains and losses within “segment operating expense” and for intercompany loans within “foreign currency gain on intercompany loans” on the Company’s Consolidated Statements of Operations.</w:t>
      </w:r>
    </w:p>
    <w:p>
      <w:pPr>
        <w:spacing w:after="0" w:line="1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Reserve Estimates-- </w:t>
      </w:r>
      <w:r>
        <w:rPr>
          <w:rFonts w:ascii="Times New Roman" w:cs="Times New Roman" w:eastAsia="Times New Roman" w:hAnsi="Times New Roman"/>
          <w:sz w:val="18"/>
          <w:szCs w:val="18"/>
          <w:color w:val="auto"/>
        </w:rPr>
        <w:t>The Company uses estimates to record reserves for certain liabilities, including medical claims, workers’ compensation claims, third-party loss contingencies and property taxes, among other items. The Company estimates the probable costs related to these liabilities that will be incurred and records that amount as a liability in its consolidated financial statements. Additionally, the Company records, as applicable, receivables related to insurance recoveries for loss contingencies if deemed probable of recovery. These estimates are reviewed and adjusted as the facts and circumstances change. The Company records legal costs related to defending claims as incurred.</w:t>
      </w:r>
    </w:p>
    <w:p>
      <w:pPr>
        <w:spacing w:after="0" w:line="1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Advertising Costs</w:t>
      </w:r>
      <w:r>
        <w:rPr>
          <w:rFonts w:ascii="Times New Roman" w:cs="Times New Roman" w:eastAsia="Times New Roman" w:hAnsi="Times New Roman"/>
          <w:sz w:val="18"/>
          <w:szCs w:val="18"/>
          <w:color w:val="auto"/>
        </w:rPr>
        <w:t>-- Advertising costs are expensed at the time such advertising commences. Advertising expense for the years ended July 31, 2017, 2016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2015 was $40.0 million, $32.3 million and $27.5 million, respectively. Prepaid advertising costs as of July 31, 2017 and 2016 was $0.1 million and $0.3 million, respectively, and is reported within “other current assets” in the Company’s Consolidated Balance Sheets.</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Company’s provision for income taxes is based on current pre-tax income, changes in deferred tax assets and liabilities and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 with regard to uncertain tax positions. Deferred tax assets and liabilities are recorded for the estimated future tax effects of temporary differences between the tax bases of assets and liabilities and amounts reported in the accompanying Consolidated Balance Sheets and for operating loss and tax credit carryforwards. The change in deferred tax assets and liabilities for the period measures the deferred tax provision or benefit for the period. Effects of changes in enacted tax laws on deferred tax assets and liabilities are reflected as adjustments to the tax provision or benefit in the period of enactment. The Company provides for taxes that may be payable if undistributed earnings of foreign subsidiaries were to be remitted to the U.S., except for those earnings that the Company considers to be permanently reinvested. The Company’s deferred tax assets have been reduced by a valuation allowance to the extent it is deemed to be more likely than not that some or all of the deferred tax assets will not be realized. The Company recognizes liabilities for uncertain tax positions based on a two-step process. The first step is to evaluate the tax position for recognition by determining if the weight of available evidence indicates that it is “more-likely-than-not” to be sustained, on audit, including resolution of related appeals or litigation processes, if any. The second step requires the Company to estimate and measure the largest tax benefit that is cumulatively greater than 50% likely of being realized upon ultimate settlement. Interest and penalties accrued in connection with uncertain tax positions are recognized as a component of income tax expense (see Note 9, Income Taxes, for more information).</w:t>
      </w:r>
    </w:p>
    <w:p>
      <w:pPr>
        <w:spacing w:after="0" w:line="1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The recorded amounts for cash and cash equivalents, receivables, other current assets and accounts payable and accrued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approximate fair value due to their short-term nature. The fair value of amounts outstanding under the Company’s credit agreements and the Employee Housing Bonds (as defined in Note 4, Long-Term Debt) approximate book value due to the variable nature of the interest rate, which is a market rate, associated with the debt.</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Stock-based compensation expense is measured at the grant date based upon the estimated fair value of the portion of the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is ultimately expected to vest and is recognized as expense over the applicable vesting period of the award generally using the straight-line method (see Note 15, Stock Compensation Plan for more information). The following table shows total stock-based compensation expense for the years ended July 31, 2017, 2016 and 2015 included in the Consolidated Statements of Operations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Year Ended July 31,</w:t>
            </w: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6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5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Mountain stock-based compensation expense</w:t>
            </w: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13,404</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11,841</w:t>
            </w: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Lodging stock-based compensation expense</w:t>
            </w:r>
          </w:p>
        </w:tc>
        <w:tc>
          <w:tcPr>
            <w:tcW w:w="1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4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2,621</w:t>
            </w:r>
          </w:p>
        </w:tc>
      </w:tr>
      <w:tr>
        <w:trPr>
          <w:trHeight w:val="27"/>
        </w:trPr>
        <w:tc>
          <w:tcPr>
            <w:tcW w:w="5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 stock-based compensation expense</w:t>
            </w:r>
          </w:p>
        </w:tc>
        <w:tc>
          <w:tcPr>
            <w:tcW w:w="1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4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1,291</w:t>
            </w:r>
          </w:p>
        </w:tc>
      </w:tr>
      <w:tr>
        <w:trPr>
          <w:trHeight w:val="237"/>
        </w:trPr>
        <w:tc>
          <w:tcPr>
            <w:tcW w:w="59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Pre-tax stock-based compensation expense</w:t>
            </w:r>
          </w:p>
        </w:tc>
        <w:tc>
          <w:tcPr>
            <w:tcW w:w="1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18,315</w:t>
            </w: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17,025</w:t>
            </w:r>
          </w:p>
        </w:tc>
        <w:tc>
          <w:tcPr>
            <w:tcW w:w="4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15,753</w:t>
            </w:r>
          </w:p>
        </w:tc>
      </w:tr>
      <w:tr>
        <w:trPr>
          <w:trHeight w:val="27"/>
        </w:trPr>
        <w:tc>
          <w:tcPr>
            <w:tcW w:w="5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benefit from income taxes</w:t>
            </w:r>
          </w:p>
        </w:tc>
        <w:tc>
          <w:tcPr>
            <w:tcW w:w="1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w:t>
            </w:r>
          </w:p>
        </w:tc>
        <w:tc>
          <w:tcPr>
            <w:tcW w:w="4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6,026</w:t>
            </w:r>
          </w:p>
        </w:tc>
      </w:tr>
      <w:tr>
        <w:trPr>
          <w:trHeight w:val="237"/>
        </w:trPr>
        <w:tc>
          <w:tcPr>
            <w:tcW w:w="59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Net stock-based compensation expense</w:t>
            </w:r>
          </w:p>
        </w:tc>
        <w:tc>
          <w:tcPr>
            <w:tcW w:w="1140" w:type="dxa"/>
            <w:vAlign w:val="bottom"/>
            <w:tcBorders>
              <w:top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12,025</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10,968</w:t>
            </w:r>
          </w:p>
        </w:tc>
        <w:tc>
          <w:tcPr>
            <w:tcW w:w="4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9,727</w:t>
            </w:r>
          </w:p>
        </w:tc>
      </w:tr>
      <w:tr>
        <w:trPr>
          <w:trHeight w:val="34"/>
        </w:trPr>
        <w:tc>
          <w:tcPr>
            <w:tcW w:w="5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1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Concentration of Credit Risk-- </w:t>
      </w:r>
      <w:r>
        <w:rPr>
          <w:rFonts w:ascii="Times New Roman" w:cs="Times New Roman" w:eastAsia="Times New Roman" w:hAnsi="Times New Roman"/>
          <w:sz w:val="18"/>
          <w:szCs w:val="18"/>
          <w:color w:val="auto"/>
        </w:rPr>
        <w:t>The Company’s financial instruments that are exposed to concentrations of credit risk consist primarily of cash and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 and restricted cash. The Company places its cash and temporary cash investments in high-quality credit institutions. The Company does not enter into financial instruments for hedging, trading or speculative purposes. Concentration of credit risk with respect to accounts and notes receivables is limited due to the wide variety of customers and markets in which the Company transacts business, as well as their dispersion across many geographical areas. The Company</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1013" w:right="2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performs ongoing credit evaluations of its customers and generally does not require collateral, but does require advance deposits on certain transactions.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(“GAAP”) requires management to make estimates and assumptions that affect the reported amounts of assets and liabilities, the disclosure of contingent assets and liabilities at the balance sheet date and the reported amounts of revenue and expenses during the reporting period. Actual results could differ from those estimates.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2014, the FASB issued ASU No. 2014-09, “Revenue from Contracts with Customers (Topic 606),” which supersedes the revenue recognition requirements in Accounting Standards Codification 605, “Revenue Recognition.” This ASU is based on the principle that revenue is recognized to depict the transfer of goods or services to customers in an amount that reflects the consideration to which the company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Subsequent to the issuance of ASU 2014-09, the FASB has issued several amendments, which do not change the core principle of the guidance and are intended to clarify and improve understanding of certain topics included within the revenue standard. This standard will be effective for the first interim period within fiscal years beginning after December 15, 2017 (the Company’s first quarter of fiscal 2019), using one of two retrospective application methods. The Company will not early adopt this standard and is evaluating the impacts, if any, the adoption of this accounting standard will have on the Company’s financial position or results of operations and cash flows and related disclosures and is determining the appropriate transition method.</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2016, the FASB issued ASU No. 2016-02, “Leases (Topic 842),” which supersedes “Leases (Topic 840).” The standard requires lessees to recognize the assets and liabilities arising from all leases, including those classified as operating leases under previous accounting guidance, on the balance sheet and disclose key information about leasing arrangements. The standard also allows for an accounting policy election not to recognize on the balance sheet lease assets and liabilities for leases with a term of 12 months or less. Under the new guidance, lessees will be required to recognize a lease liability and a right-of-use asset on their balance sheets, while lessor accounting will be largely unchanged. The standard will be effective for fiscal years beginning after December 15, 2018, including interim periods within those years (the Company’s first quarter of fiscal 2020), and must be applied using a modified retrospective transition approach to leases existing at, or entered into after, the beginning of the earliest comparative period presented in the financial statements, with early adoption permitted. The Company is currently evaluating the impacts the adoption of this accounting standard will have on the Company’s financial position or results of operations and cash flows and related disclosures. Additionally, the Company is evaluating the impacts of the standard beyond accounting, including system, data and process changes required to comply with the standard.</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2016, the FASB issued ASU No. 2016-09, “Compensation - Stock Compensation (Topic 718): Improvements to Employee Share-Based Payment Accounting.” The new guidance requires companies to record all excess tax benefits and tax deficiencies as income tax expense or benefit in the income statement when the awards vest or are settled. The guidance also requires companies to present excess tax benefits as an operating activity and cash paid to a taxing authority to satisfy statutory withholding as a financing activity on the statement of cash flows. Additionally, the guidance allows companies to make a policy election to account for forfeitures either upon occurrence or by estimating forfeitures. The standard is effective for financial statements issued for fiscal years beginning after December 15, 2016 (the Company’s first quarter of fiscal 2018). The Company will adopt this standard in the first quarter of fiscal 2018 and will prospectively record excess tax benefits and deficiencies within the provision or benefit for income taxes on its Consolidated Statements of Operations when stock-based compensation awards vest or are exercised. This will increase volatility of the provision or benefit for income taxes as the amount of excess tax benefits or deficiencies from stock-based compensation awards are dependent on the Company’s stock price at the date the awards vest or are exercised. The Company will also prospectively present excess tax benefits as operating activities and cash paid to taxing authorities on an employee’s behalf as financing activities on its Consolidated Statements of Cash Flows, neither of which will have an impact to the Company’s total cash flows. Additionally, the Company will elect to record actual forfeitures for recording stock-based compensation expense when they occur, rather than estimate expected forfeitures, which is not expected to have a material impact to the consolidated financial statements.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2016, the FASB issued ASU No. 2016-15, “Statement of Cash Flows (Topic 230): Classification of Certain Cash Receipts and Cash Payments.” The standard provides guidance for eight targeted changes with respect to how cash receipts and cash payments are classified in the statements of cash flows, with the objective of reducing diversity in practice. The standard is effective for financial statements issued for fiscal years beginning after December 15, 2017 (the Company’s first quarter of fiscal 2019), with early adoption permitted. The Company is currently evaluating the impacts the adoption of this accounting standard will have on the Company’s cash flows.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175" w:right="239" w:bottom="1440" w:gutter="0" w:footer="0" w:header="0"/>
        </w:sectPr>
      </w:pPr>
    </w:p>
    <w:bookmarkStart w:id="74" w:name="page75"/>
    <w:bookmarkEnd w:id="74"/>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2017, the FASB issued ASU No. 2017-04, “Intangibles-Goodwill and Other (Topic 350): Simplifying the Test for Goodwill Impairment.” The standard simplifies interim and annual goodwill impairment testing by eliminating step two, a hypothetical purchase price allocation, from the goodwill impairment test and leaving step one unchanged. Under the new guidance, companies will continue to complete step one by comparing the estimated fair value of their reporting units with their respective carrying amounts, and will recognize an impairment charge, if any, for the amount by which the carrying amount exceeds the reporting unit’s estimated fair value. The standard is effective for financial statements issued for fiscal years beginning after December 15, 2019 (the Company’s first quarter of fiscal 2021), with early adoption permitted. The Company is currently analyzing provisions of the standard to determine if early adoption is warranted for purposes of simplification.</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Net Income Per Common Share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(“EPS”) excludes dilution and is computed by dividing net income attributable to Vail Resorts stockholders by the weighted-average shares outstanding during the period. Diluted EPS reflects the potential dilution that could occur if securities or other contracts to issue common stock were exercised, resulting in the issuance of shares of common stock that would then share in the earnings of Vail Resorts.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Company’s acquisition of Whistler Blackcomb in October 2016 (see Note 5, Acquisitions), the Company issued consideration in the form of shares of Vail Resorts common stock (the “Vail Shares”) and shares of the Company’s wholly-owned Canadian subsidiary (“Exchangeco”). Whistler Blackcomb shareholders elected to receive 3,327,719 Vail Shares and 418,095 shares of Exchangeco (the “Exchangeco Shares”). Both Vail Shares and Exchangeco Shares have a par value of $0.01 per share, and Exchangeco Shares, while outstanding, are substantially the economic equivalent of the Vail Shares and are exchangeable, at any time prior to the seventh anniversary of the closing of the acquisition, into Vail Shares. The Company’s calculation of weighted-average shares outstanding includes the Exchangeco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below is basic and diluted EPS for the years ended July 31, 2017, 2016 and 2015 (in thousands, except per share amounts):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Year Ended July 31,</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900" w:type="dxa"/>
            <w:vAlign w:val="bottom"/>
          </w:tcPr>
          <w:p>
            <w:pPr>
              <w:spacing w:after="0"/>
              <w:rPr>
                <w:sz w:val="20"/>
                <w:szCs w:val="20"/>
                <w:color w:val="auto"/>
              </w:rPr>
            </w:pPr>
          </w:p>
        </w:tc>
      </w:tr>
      <w:tr>
        <w:trPr>
          <w:trHeight w:val="27"/>
        </w:trPr>
        <w:tc>
          <w:tcPr>
            <w:tcW w:w="4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80" w:type="dxa"/>
            <w:vAlign w:val="bottom"/>
          </w:tcPr>
          <w:p>
            <w:pPr>
              <w:spacing w:after="0"/>
              <w:rPr>
                <w:sz w:val="20"/>
                <w:szCs w:val="20"/>
                <w:color w:val="auto"/>
              </w:rPr>
            </w:pP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8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8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8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8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Diluted</w:t>
            </w:r>
          </w:p>
        </w:tc>
      </w:tr>
      <w:tr>
        <w:trPr>
          <w:trHeight w:val="27"/>
        </w:trPr>
        <w:tc>
          <w:tcPr>
            <w:tcW w:w="4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Vail Resorts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210,553</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210,553</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149,754</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149,754</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114,754</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114,754</w:t>
            </w: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39,158</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39,158</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36,276</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36,276</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36,342</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36,342</w:t>
            </w: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Exchangeco shares outstanding</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Weighted-average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39,251</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39,251</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36,276</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36,276</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36,342</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36,342</w:t>
            </w: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1,064</w:t>
            </w:r>
          </w:p>
        </w:tc>
      </w:tr>
      <w:tr>
        <w:trPr>
          <w:trHeight w:val="27"/>
        </w:trPr>
        <w:tc>
          <w:tcPr>
            <w:tcW w:w="4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shares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39,251</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40,366</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36,276</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37,312</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36,342</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37,406</w:t>
            </w:r>
          </w:p>
        </w:tc>
      </w:tr>
      <w:tr>
        <w:trPr>
          <w:trHeight w:val="237"/>
        </w:trPr>
        <w:tc>
          <w:tcPr>
            <w:tcW w:w="45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income per share attributable to Vail Resorts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3.07</w:t>
            </w:r>
          </w:p>
        </w:tc>
      </w:tr>
      <w:tr>
        <w:trPr>
          <w:trHeight w:val="27"/>
        </w:trPr>
        <w:tc>
          <w:tcPr>
            <w:tcW w:w="4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computes the effect of dilutive securities using the treasury stock method and average market prices during the period. The number of shares issuable on the exercise of share based awards that were excluded from the calculation of diluted net income per share because the effect of their inclusion would have been anti-dilutive totaled approximately 9,000, 18,000 and 11,000 for the years ended July 31, 2017, 2016 and 2015, respectively.</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fiscal 2011, the Company’s Board of Directors approved the commencement of a regular quarterly cash dividend on the Company’s common stock at an annual rate of $0.60 per share, subject to quarterly declaration. Since the initial commencement of a regular quarterly cash dividend, the Company’s Board of Directors has annually approved an increase to the cash dividend on the Company’s common stock and on March 9, 2017, the Company’s Board of Directors approved an increase of approximately 30% in the annual cash dividend to an annual rate of $4.212 per share, subject to quarterly declaration. For the year ended July 31, 2017, the Company paid cash dividends of $3.726 per share ($146.2 million in the aggregate). On September 27, 2017 the Company’s Board of Directors approved a quarterly cash dividend of $1.053 per share payable on October 27, 2017 to stockholders of record as of October 10, 2017. Additionally, a Canadian dollar equivalent dividend on the Exchangeco Shares will be payable on October 27, 2017 to the shareholders of record on October 10, 2017.</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1229" w:right="239" w:bottom="1440" w:gutter="0" w:footer="0" w:header="0"/>
        </w:sectPr>
      </w:pPr>
    </w:p>
    <w:bookmarkStart w:id="75" w:name="page76"/>
    <w:bookmarkEnd w:id="75"/>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as of July 31, 2017 and 2016 is summarized as follows (in thousands):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380" w:type="dxa"/>
            <w:vAlign w:val="bottom"/>
          </w:tcPr>
          <w:p>
            <w:pPr>
              <w:spacing w:after="0"/>
              <w:rPr>
                <w:sz w:val="18"/>
                <w:szCs w:val="18"/>
                <w:color w:val="auto"/>
              </w:rPr>
            </w:pPr>
          </w:p>
        </w:tc>
        <w:tc>
          <w:tcPr>
            <w:tcW w:w="14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July 31,</w:t>
            </w:r>
          </w:p>
        </w:tc>
      </w:tr>
      <w:tr>
        <w:trPr>
          <w:trHeight w:val="238"/>
        </w:trPr>
        <w:tc>
          <w:tcPr>
            <w:tcW w:w="4900" w:type="dxa"/>
            <w:vAlign w:val="bottom"/>
          </w:tcPr>
          <w:p>
            <w:pPr>
              <w:spacing w:after="0"/>
              <w:rPr>
                <w:sz w:val="20"/>
                <w:szCs w:val="20"/>
                <w:color w:val="auto"/>
              </w:rPr>
            </w:pPr>
          </w:p>
        </w:tc>
        <w:tc>
          <w:tcPr>
            <w:tcW w:w="2620" w:type="dxa"/>
            <w:vAlign w:val="bottom"/>
          </w:tcPr>
          <w:p>
            <w:pPr>
              <w:ind w:left="162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600" w:type="dxa"/>
            <w:vAlign w:val="bottom"/>
          </w:tcPr>
          <w:p>
            <w:pPr>
              <w:spacing w:after="0"/>
              <w:rPr>
                <w:sz w:val="20"/>
                <w:szCs w:val="20"/>
                <w:color w:val="auto"/>
              </w:rPr>
            </w:pPr>
          </w:p>
        </w:tc>
        <w:tc>
          <w:tcPr>
            <w:tcW w:w="14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80" w:type="dxa"/>
            <w:vAlign w:val="bottom"/>
          </w:tcPr>
          <w:p>
            <w:pPr>
              <w:spacing w:after="0"/>
              <w:rPr>
                <w:sz w:val="20"/>
                <w:szCs w:val="20"/>
                <w:color w:val="auto"/>
              </w:rPr>
            </w:pPr>
          </w:p>
        </w:tc>
        <w:tc>
          <w:tcPr>
            <w:tcW w:w="14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49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Vail Holdings Credit Agreement revolver (a)</w:t>
            </w:r>
          </w:p>
        </w:tc>
        <w:tc>
          <w:tcPr>
            <w:tcW w:w="2620" w:type="dxa"/>
            <w:vAlign w:val="bottom"/>
            <w:tcBorders>
              <w:bottom w:val="single" w:sz="8" w:color="CCEEFF"/>
            </w:tcBorders>
            <w:shd w:val="clear" w:color="auto" w:fill="CCEEFF"/>
          </w:tcPr>
          <w:p>
            <w:pPr>
              <w:jc w:val="center"/>
              <w:ind w:left="1210"/>
              <w:spacing w:after="0"/>
              <w:rPr>
                <w:sz w:val="20"/>
                <w:szCs w:val="20"/>
                <w:color w:val="auto"/>
              </w:rPr>
            </w:pPr>
            <w:r>
              <w:rPr>
                <w:rFonts w:ascii="Times New Roman" w:cs="Times New Roman" w:eastAsia="Times New Roman" w:hAnsi="Times New Roman"/>
                <w:sz w:val="18"/>
                <w:szCs w:val="18"/>
                <w:color w:val="auto"/>
                <w:w w:val="99"/>
              </w:rPr>
              <w:t>2021</w:t>
            </w: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75,000</w:t>
            </w:r>
          </w:p>
        </w:tc>
      </w:tr>
      <w:tr>
        <w:trPr>
          <w:trHeight w:val="243"/>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Vail Holdings Credit Agreement term loan (a)</w:t>
            </w:r>
          </w:p>
        </w:tc>
        <w:tc>
          <w:tcPr>
            <w:tcW w:w="262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2021</w:t>
            </w:r>
          </w:p>
        </w:tc>
        <w:tc>
          <w:tcPr>
            <w:tcW w:w="6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721,875</w:t>
            </w:r>
          </w:p>
        </w:tc>
        <w:tc>
          <w:tcPr>
            <w:tcW w:w="3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240,625</w:t>
            </w:r>
          </w:p>
        </w:tc>
      </w:tr>
      <w:tr>
        <w:trPr>
          <w:trHeight w:val="27"/>
        </w:trPr>
        <w:tc>
          <w:tcPr>
            <w:tcW w:w="49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Whistler Credit Agreement revolver (b)</w:t>
            </w:r>
          </w:p>
        </w:tc>
        <w:tc>
          <w:tcPr>
            <w:tcW w:w="2620" w:type="dxa"/>
            <w:vAlign w:val="bottom"/>
            <w:tcBorders>
              <w:bottom w:val="single" w:sz="8" w:color="CCEEFF"/>
            </w:tcBorders>
            <w:shd w:val="clear" w:color="auto" w:fill="CCEEFF"/>
          </w:tcPr>
          <w:p>
            <w:pPr>
              <w:jc w:val="center"/>
              <w:ind w:left="1210"/>
              <w:spacing w:after="0"/>
              <w:rPr>
                <w:sz w:val="20"/>
                <w:szCs w:val="20"/>
                <w:color w:val="auto"/>
              </w:rPr>
            </w:pPr>
            <w:r>
              <w:rPr>
                <w:rFonts w:ascii="Times New Roman" w:cs="Times New Roman" w:eastAsia="Times New Roman" w:hAnsi="Times New Roman"/>
                <w:sz w:val="18"/>
                <w:szCs w:val="18"/>
                <w:color w:val="auto"/>
                <w:w w:val="99"/>
              </w:rPr>
              <w:t>2021</w:t>
            </w:r>
          </w:p>
        </w:tc>
        <w:tc>
          <w:tcPr>
            <w:tcW w:w="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113,119</w:t>
            </w: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housing bonds (c)</w:t>
            </w:r>
          </w:p>
        </w:tc>
        <w:tc>
          <w:tcPr>
            <w:tcW w:w="262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2027-2039</w:t>
            </w:r>
          </w:p>
        </w:tc>
        <w:tc>
          <w:tcPr>
            <w:tcW w:w="6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52,575</w:t>
            </w:r>
          </w:p>
        </w:tc>
        <w:tc>
          <w:tcPr>
            <w:tcW w:w="3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52,575</w:t>
            </w:r>
          </w:p>
        </w:tc>
      </w:tr>
      <w:tr>
        <w:trPr>
          <w:trHeight w:val="27"/>
        </w:trPr>
        <w:tc>
          <w:tcPr>
            <w:tcW w:w="49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Canyons obligation (d)</w:t>
            </w:r>
          </w:p>
        </w:tc>
        <w:tc>
          <w:tcPr>
            <w:tcW w:w="2620" w:type="dxa"/>
            <w:vAlign w:val="bottom"/>
            <w:tcBorders>
              <w:bottom w:val="single" w:sz="8" w:color="CCEEFF"/>
            </w:tcBorders>
            <w:shd w:val="clear" w:color="auto" w:fill="CCEEFF"/>
          </w:tcPr>
          <w:p>
            <w:pPr>
              <w:jc w:val="center"/>
              <w:ind w:left="1210"/>
              <w:spacing w:after="0"/>
              <w:rPr>
                <w:sz w:val="20"/>
                <w:szCs w:val="20"/>
                <w:color w:val="auto"/>
              </w:rPr>
            </w:pPr>
            <w:r>
              <w:rPr>
                <w:rFonts w:ascii="Times New Roman" w:cs="Times New Roman" w:eastAsia="Times New Roman" w:hAnsi="Times New Roman"/>
                <w:sz w:val="18"/>
                <w:szCs w:val="18"/>
                <w:color w:val="auto"/>
                <w:w w:val="99"/>
              </w:rPr>
              <w:t>2063</w:t>
            </w:r>
          </w:p>
        </w:tc>
        <w:tc>
          <w:tcPr>
            <w:tcW w:w="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328,786</w:t>
            </w: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323,099</w:t>
            </w:r>
          </w:p>
        </w:tc>
      </w:tr>
      <w:tr>
        <w:trPr>
          <w:trHeight w:val="243"/>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w:t>
            </w:r>
          </w:p>
        </w:tc>
        <w:tc>
          <w:tcPr>
            <w:tcW w:w="262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2024-2028</w:t>
            </w:r>
          </w:p>
        </w:tc>
        <w:tc>
          <w:tcPr>
            <w:tcW w:w="6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10,166</w:t>
            </w:r>
          </w:p>
        </w:tc>
        <w:tc>
          <w:tcPr>
            <w:tcW w:w="3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11,021</w:t>
            </w:r>
          </w:p>
        </w:tc>
      </w:tr>
      <w:tr>
        <w:trPr>
          <w:trHeight w:val="27"/>
        </w:trPr>
        <w:tc>
          <w:tcPr>
            <w:tcW w:w="49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debt</w:t>
            </w:r>
          </w:p>
        </w:tc>
        <w:tc>
          <w:tcPr>
            <w:tcW w:w="26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1,276,521</w:t>
            </w: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702,320</w:t>
            </w:r>
          </w:p>
        </w:tc>
      </w:tr>
      <w:tr>
        <w:trPr>
          <w:trHeight w:val="243"/>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3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2,057</w:t>
            </w:r>
          </w:p>
        </w:tc>
      </w:tr>
      <w:tr>
        <w:trPr>
          <w:trHeight w:val="27"/>
        </w:trPr>
        <w:tc>
          <w:tcPr>
            <w:tcW w:w="49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Current maturities (f)</w:t>
            </w:r>
          </w:p>
        </w:tc>
        <w:tc>
          <w:tcPr>
            <w:tcW w:w="26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38,397</w:t>
            </w:r>
          </w:p>
        </w:tc>
        <w:tc>
          <w:tcPr>
            <w:tcW w:w="3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13,354</w:t>
            </w:r>
          </w:p>
        </w:tc>
      </w:tr>
      <w:tr>
        <w:trPr>
          <w:trHeight w:val="237"/>
        </w:trPr>
        <w:tc>
          <w:tcPr>
            <w:tcW w:w="490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Long-term debt, net</w:t>
            </w:r>
          </w:p>
        </w:tc>
        <w:tc>
          <w:tcPr>
            <w:tcW w:w="26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1,234,024</w:t>
            </w:r>
          </w:p>
        </w:tc>
        <w:tc>
          <w:tcPr>
            <w:tcW w:w="3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686,909</w:t>
            </w:r>
          </w:p>
        </w:tc>
      </w:tr>
      <w:tr>
        <w:trPr>
          <w:trHeight w:val="27"/>
        </w:trPr>
        <w:tc>
          <w:tcPr>
            <w:tcW w:w="49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51"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14, 2016, in order to finance the cash portion of the consideration and payment of associated fees and expenses of the Whistler Blackcomb acquisition (see Note 5, Acquisitions), the Company’s wholly-owned subsidiary, Vail Holdings, Inc. (“VHI”) entered into the Second Amendment to the Seventh Amended and Restated Credit Facility, dated as of May 1, 2015 (the “Vail Holdings Credit Agreement”), with Bank of America, N.A., as administrative agent, and other lenders named therein, through which these lenders provided an additional $509.4 million in incremental term loans and agreed, on behalf of all lenders, to extend the maturity date for the outstanding term loans and revolver facility under the Vail Holdings Credit Agreement to October 14, 2021 (the “Amendment”). The Vail Holdings Credit Agreement consists of a $400.0 million revolving credit facility and a $750.0 million term loan facility. The other material terms of the Vail Holdings Credit Agreement were not altered by the Amendment. VHI’s obligations under the Vail Holdings Credit Agreement are guaranteed by the Company and certain of its subsidiaries and are collateralized by a pledge of all the capital stock of VHI and substantially all of its subsidiaries (with certain additional exceptions for the pledge of the capital stock of foreign subsidiaries). In addition, pursuant to the terms of the Vail Holdings Credit Agreement, VHI has the ability to increase availability (under the revolver or in the form of term loans) to an aggregate principal amount not to exceed the greater of (i) $950.0 million and (ii) the product of 2.75 and the trailing twelve-month Adjusted EBITDA, as defined in the Vail Holdings Credit Agreement. The term loan facility is subject to quarterly amortization of principal of approximately $9.4 million, which began on January 31, 2017, in equal installments, with five percent payable in each year and the final payment of all amounts outstanding, plus accrued and unpaid interest due in October 2021. The proceeds of the loans made under the Vail Holdings Credit Agreement may be used to fund the Company’s working capital needs, capital expenditures, acquisitions, investments and other general corporate purposes, including the issuance of letters of credit. Borrowings under the Vail Holdings Credit Agreement, including the term loan facility, bear interest annually at the Company's option at the rate of (i) LIBOR plus 1.25% as of July 31, 2017 (2.48% as of July 31, 2017) or (ii) the Agent's prime lending rate plus a margin (2.48% as of July 31, 2017). Interest rate margins may fluctuate based upon the ratio of the Company’s Net Funded Debt to Adjusted EBITDA on a trailing four-quarter basis. The Vail Holdings Credit Agreement also includes a quarterly unused commitment fee, which is equal to a percentage determined by the Net Funded Debt to Adjusted EBITDA ratio, as each such term is defined in the Vail Holdings Credit Agreement, times the daily amount by which the Vail Holdings Credit Agreement commitment exceeds the total of outstanding loans and outstanding letters of credit. The unused amounts are accessible to the extent that the Net Funded Debt to Adjusted EBITDA ratio does not exceed the maximum ratio allowed at quarter-ends and the Adjusted EBITDA to interest on Funded Debt (as defined in the Vail Holdings Credit Agreement) ratio does not fall below the minimum ratio allowed at quarter-ends. The Vail Holdings Credit Agreement provides for affirmative and negative covenants that restrict, among other things, the Company’s ability to incur indebtedness, dispose of assets, make capital expenditures, make distributions and make investments. In addition, the Vail Holdings Credit Agreement includes the following restrictive financial covenants: Net Funded Debt to Adjusted EBITDA ratio and Adjusted EBITDA to interest on Funded Debt ratio.</w:t>
      </w:r>
    </w:p>
    <w:p>
      <w:pPr>
        <w:spacing w:after="0" w:line="20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WB Partnerships (as defined in Note 5, Acquisitions) are party to a credit agreement, dated as of November 12, 2013 (as amended, the “Whistler Credit Agreement”), by and among Whistler Mountain Resort Limited Partnership (“Whistler LP”), Blackcomb Skiing Enterprises Limited Partnership (“Blackcomb LP”), certain subsidiaries of Whistler LP and Blackcomb LP party thereto as guarantors (the “Whistler Subsidiary Guarantors”), the financial institutions party thereto as lenders and The Toronto-Dominion Bank, as administrative agent. The Whistler Credit Agreement consists of a C$300.0 million revolving credit facility, which matures on November 12, 2021. The WB Partnerships’ obligations under the Whistler Credit Agreement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1225" w:right="239" w:bottom="1440" w:gutter="0" w:footer="0" w:header="0"/>
        </w:sectPr>
      </w:pPr>
    </w:p>
    <w:bookmarkStart w:id="76" w:name="page77"/>
    <w:bookmarkEnd w:id="76"/>
    <w:p>
      <w:pPr>
        <w:jc w:val="both"/>
        <w:ind w:left="340"/>
        <w:spacing w:after="0" w:line="299" w:lineRule="auto"/>
        <w:rPr>
          <w:sz w:val="20"/>
          <w:szCs w:val="20"/>
          <w:color w:val="auto"/>
        </w:rPr>
      </w:pPr>
      <w:r>
        <w:rPr>
          <w:rFonts w:ascii="Times New Roman" w:cs="Times New Roman" w:eastAsia="Times New Roman" w:hAnsi="Times New Roman"/>
          <w:sz w:val="18"/>
          <w:szCs w:val="18"/>
          <w:color w:val="auto"/>
        </w:rPr>
        <w:t>are guaranteed by the Whistler Subsidiary Guarantors and are collateralized by a pledge of the capital stock of the Whistler Subsidiary Guarantors and a pledge of substantially all of the assets of Whistler LP, Blackcomb LP and the Whistler Subsidiary Guarantors. In addition, pursuant to the terms of the Whistler Credit Agreement, the WB Partnerships have the ability to increase the commitment amount by up to C$75.0 million subject to lender approval. Borrowings under the Whistler Credit Agreement are available in Canadian or U.S. dollars and bear interest annually, subject to an applicable margin based on the WB Partnerships’ Consolidated Total Leverage Ratio (as defined in the Whistler Credit Agreement), with pricing as of July 31, 2017, in the case of borrowings (i) in Canadian dollars, at the WB Partnerships’ option, either (a) at the Canadian Prime Rate plus 0.75% per annum or (b) by way of the issuance of bankers’ acceptances plus 1.75% per annum; and (ii) in U.S. dollars, at the WB Partnerships option, either at (a) the U.S. Base Rate plus 0.75% per annum or (b) Bankers Acceptance Rate plus 1.75% per annum. As of July 31, 2017 all borrowings under the Whistler Credit Agreement were made in Canadian dollars and by way of the issuance of bankers’ acceptances plus 1.75% (2.90% as of July 31, 2017). The Whistler Credit Agreement also includes a quarterly unused commitment fee based on the Consolidated Total Leverage Ratio, which as of July 31, 2017 is equal to 0.3937% per annum. The Whistler Credit Agreement provides for affirmative and negative covenants that restrict, among other things, the WB Partnerships’ ability to incur indebtedness and liens, dispose of assets, make capital expenditures, make distributions and make investments. In addition, the Whistler Credit Agreement includes the restrictive financial covenants (leverage ratios and interest coverage ratios) customary for facilities of this type. In connection with the Whistler Blackcomb transaction, the WB Partnerships obtained an amendment to the Whistler Credit Agreement to waive the change of control provision that otherwise would have required repayment in full of the facility as a result of the closing of the Whistler Blackcomb acquisition and to extend the maturity to November 12, 2021.</w:t>
      </w:r>
    </w:p>
    <w:p>
      <w:pPr>
        <w:spacing w:after="0" w:line="169" w:lineRule="exact"/>
        <w:rPr>
          <w:sz w:val="20"/>
          <w:szCs w:val="20"/>
          <w:color w:val="auto"/>
        </w:rPr>
      </w:pPr>
    </w:p>
    <w:p>
      <w:pPr>
        <w:jc w:val="both"/>
        <w:ind w:left="340" w:hanging="332"/>
        <w:spacing w:after="0" w:line="261"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recorded the outstanding debt of four Employee Housing Entities (each an “Employee Housing Entity” and collectively the “Employee Housing Entities”): Breckenridge Terrace, Tarnes, BC Housing and Tenderfoot. The proceeds of the Employee Housing Bonds were used to develop apartment complexes designated primarily for use by the Company’s seasonal employees at its Colorado mountain resorts. The Employee Housing Bonds are variable rate, interest-only instruments with interest rates tied to LIBOR plus 0% to 0.09% (1.23% to 1.32% as of July 31, 2017).</w:t>
      </w:r>
    </w:p>
    <w:p>
      <w:pPr>
        <w:spacing w:after="0" w:line="180"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Interest on the Employee Housing Bonds is paid monthly in arrears and the interest rate is adjusted weekly. No principal payments are due on the Employee Housing Bonds until maturity. Each Employee Housing Entity’s bonds were issued in two series. The bonds for each Employee Housing Entity are backed by letters of credit issued under the Vail Holdings Credit Agreement. The table below presents the principal amounts outstanding for the Employee Housing Bonds as of July 31, 2017 (in thousands):</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246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8"/>
              </w:rPr>
              <w:t>Maturity (a)</w:t>
            </w:r>
          </w:p>
        </w:tc>
        <w:tc>
          <w:tcPr>
            <w:tcW w:w="500" w:type="dxa"/>
            <w:vAlign w:val="bottom"/>
          </w:tcPr>
          <w:p>
            <w:pPr>
              <w:spacing w:after="0"/>
              <w:rPr>
                <w:sz w:val="20"/>
                <w:szCs w:val="20"/>
                <w:color w:val="auto"/>
              </w:rPr>
            </w:pPr>
          </w:p>
        </w:tc>
        <w:tc>
          <w:tcPr>
            <w:tcW w:w="13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Tranche A</w:t>
            </w:r>
          </w:p>
        </w:tc>
        <w:tc>
          <w:tcPr>
            <w:tcW w:w="320" w:type="dxa"/>
            <w:vAlign w:val="bottom"/>
          </w:tcPr>
          <w:p>
            <w:pPr>
              <w:spacing w:after="0"/>
              <w:rPr>
                <w:sz w:val="20"/>
                <w:szCs w:val="20"/>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Tranche B</w:t>
            </w:r>
          </w:p>
        </w:tc>
        <w:tc>
          <w:tcPr>
            <w:tcW w:w="42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29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Breckenridge Terrace</w:t>
            </w:r>
          </w:p>
        </w:tc>
        <w:tc>
          <w:tcPr>
            <w:tcW w:w="2460" w:type="dxa"/>
            <w:vAlign w:val="bottom"/>
            <w:tcBorders>
              <w:bottom w:val="single" w:sz="8" w:color="CCEEFF"/>
            </w:tcBorders>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9"/>
              </w:rPr>
              <w:t>2039</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14,980</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19,980</w:t>
            </w:r>
          </w:p>
        </w:tc>
      </w:tr>
      <w:tr>
        <w:trPr>
          <w:trHeight w:val="24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Tarnes</w:t>
            </w:r>
          </w:p>
        </w:tc>
        <w:tc>
          <w:tcPr>
            <w:tcW w:w="24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2039</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10,410</w:t>
            </w:r>
          </w:p>
        </w:tc>
      </w:tr>
      <w:tr>
        <w:trPr>
          <w:trHeight w:val="27"/>
        </w:trPr>
        <w:tc>
          <w:tcPr>
            <w:tcW w:w="29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BC Housing</w:t>
            </w:r>
          </w:p>
        </w:tc>
        <w:tc>
          <w:tcPr>
            <w:tcW w:w="2460" w:type="dxa"/>
            <w:vAlign w:val="bottom"/>
            <w:tcBorders>
              <w:bottom w:val="single" w:sz="8" w:color="CCEEFF"/>
            </w:tcBorders>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9"/>
              </w:rPr>
              <w:t>2027</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w:t>
            </w:r>
          </w:p>
        </w:tc>
      </w:tr>
      <w:tr>
        <w:trPr>
          <w:trHeight w:val="24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Tenderfoot</w:t>
            </w:r>
          </w:p>
        </w:tc>
        <w:tc>
          <w:tcPr>
            <w:tcW w:w="24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2035</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11,585</w:t>
            </w:r>
          </w:p>
        </w:tc>
      </w:tr>
      <w:tr>
        <w:trPr>
          <w:trHeight w:val="27"/>
        </w:trPr>
        <w:tc>
          <w:tcPr>
            <w:tcW w:w="29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2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37,780</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14,795</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52,575</w:t>
            </w:r>
          </w:p>
        </w:tc>
      </w:tr>
      <w:tr>
        <w:trPr>
          <w:trHeight w:val="20"/>
        </w:trPr>
        <w:tc>
          <w:tcPr>
            <w:tcW w:w="292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55"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24, 2013, VR CPC Holdings, Inc. (“VR CPC”), a wholly-owned subsidiary of the Company, entered into a transaction agreement (the “Transaction Agreement”) with affiliate companies of Talisker Corporation (“Talisker”) pursuant to which the parties entered into a master lease agreement (the “Lease”) and certain ancillary transaction documents on May 29, 2013 related to the former stand-alone Canyons Resort (“Canyons”), pursuant to which the Company assumed the resort operations of the Canyons. The Lease between VR CPC and Talisker has an initial term of 50 years with six 50-year renewal options. The Lease provides for $25 million in annual payments, which increase each year by an inflation linked index of CPI less 1%, with a floor of 2% per annum. Vail Resorts has guaranteed the payments under the Lease. The obligation at July 31, 2017 represents future lease payments for the remaining initial lease term of 50 years (including annual increases at the floor of 2%) discounted using an interest rate of 10%, and includes accumulated accreted interest expense of $23.5 million.</w:t>
      </w:r>
    </w:p>
    <w:p>
      <w:pPr>
        <w:spacing w:after="0" w:line="18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obligations primarily consist of a $4.4 million note outstanding to the Colorado Water Conservation Board, which matures on September 16, 2028, and other financing arrangements. Other obligations, including the Colorado Water Conservation Board note, bear interest at rates ranging from 5.1% to 5.5%.</w:t>
      </w:r>
    </w:p>
    <w:p>
      <w:pPr>
        <w:spacing w:after="0" w:line="1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maturities represent principal payments due in the next 12 months.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1039" w:right="2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Aggregate maturities for debt outstanding, including capital lease obligations, as of July 31, 2017 reflected by fiscal year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28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474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38,397</w:t>
            </w:r>
          </w:p>
        </w:tc>
      </w:tr>
      <w:tr>
        <w:trPr>
          <w:trHeight w:val="243"/>
        </w:trPr>
        <w:tc>
          <w:tcPr>
            <w:tcW w:w="5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47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38,455</w:t>
            </w:r>
          </w:p>
        </w:tc>
      </w:tr>
      <w:tr>
        <w:trPr>
          <w:trHeight w:val="27"/>
        </w:trPr>
        <w:tc>
          <w:tcPr>
            <w:tcW w:w="52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47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38,516</w:t>
            </w:r>
          </w:p>
        </w:tc>
      </w:tr>
      <w:tr>
        <w:trPr>
          <w:trHeight w:val="243"/>
        </w:trPr>
        <w:tc>
          <w:tcPr>
            <w:tcW w:w="5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47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38,580</w:t>
            </w:r>
          </w:p>
        </w:tc>
      </w:tr>
      <w:tr>
        <w:trPr>
          <w:trHeight w:val="27"/>
        </w:trPr>
        <w:tc>
          <w:tcPr>
            <w:tcW w:w="52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47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736,141</w:t>
            </w:r>
          </w:p>
        </w:tc>
      </w:tr>
      <w:tr>
        <w:trPr>
          <w:trHeight w:val="243"/>
        </w:trPr>
        <w:tc>
          <w:tcPr>
            <w:tcW w:w="5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47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386,432</w:t>
            </w:r>
          </w:p>
        </w:tc>
      </w:tr>
      <w:tr>
        <w:trPr>
          <w:trHeight w:val="27"/>
        </w:trPr>
        <w:tc>
          <w:tcPr>
            <w:tcW w:w="528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2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debt</w:t>
            </w:r>
          </w:p>
        </w:tc>
        <w:tc>
          <w:tcPr>
            <w:tcW w:w="474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1,276,521</w:t>
            </w:r>
          </w:p>
        </w:tc>
      </w:tr>
      <w:tr>
        <w:trPr>
          <w:trHeight w:val="20"/>
        </w:trPr>
        <w:tc>
          <w:tcPr>
            <w:tcW w:w="5280" w:type="dxa"/>
            <w:vAlign w:val="bottom"/>
            <w:tcBorders>
              <w:top w:val="single" w:sz="8" w:color="auto"/>
              <w:bottom w:val="single" w:sz="8" w:color="auto"/>
            </w:tcBorders>
          </w:tcPr>
          <w:p>
            <w:pPr>
              <w:spacing w:after="0" w:line="20" w:lineRule="exact"/>
              <w:rPr>
                <w:sz w:val="1"/>
                <w:szCs w:val="1"/>
                <w:color w:val="auto"/>
              </w:rPr>
            </w:pPr>
          </w:p>
        </w:tc>
        <w:tc>
          <w:tcPr>
            <w:tcW w:w="47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gross interest expense of $54.1 million, $42.4 million and $51.2 million for the years ended July 31, 2017, 2016 and 2015, respectively, of which $1.1 million, $1.0 million and $1.3 million, respectively, was amortization of deferred financing costs. The Company was in compliance with all of its financial and operating covenants required to be maintained under its debt instruments for all periods presented.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acquisition of Whistler Blackcomb, VHI funded a portion of the purchase price through an intercompany loan to Whistler Blackcomb of $210.0 million requiring foreign currency remeasurement to Canadian dollars, the functional currency for Whistler Blackcomb. As a result, foreign currency fluctuations associated with the loan are recorded within the Company’s results of operations. The Company recognized approximately $15.3 million in foreign currency gains on the intercompany loan to Whistler Blackcomb during the year ended July 31, 2017 on the Company’s Consolidated Statements of Operations.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a loss on extinguishment of debt of $11.0 million for the year ended July 31, 2015 in connection with redemptions of the remaining $215.0 million of its 6.50% Senior Subordinated Notes (“6.50% Notes”) outstanding and the entire $41.2 million of its Industrial Development Bonds outstanding. The loss included early redemption premiums of 3.25% for the 6.50% Notes and 4.00% for the Industrial Development Bonds, or $8.6 million in total, and a $2.4 million write-off of associated unamortized debt issuance costs.</w:t>
      </w:r>
    </w:p>
    <w:p>
      <w:pPr>
        <w:spacing w:after="0" w:line="176"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Stowe</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7, 2017, the Company, through a wholly-owned subsidiary, acquired Stowe Mountain Resort in Stowe, Vermont, from Mt. Mansfield Company, Inc., a wholly-owned subsidiary of American International Group, Inc., for total cash consideration of $40.9 million. The Company acquired all of the assets related to the mountain operations of the resort, including base area skier services (food and beverage, retail and rental, lift ticket offices and ski and snowboard school facilities). The purchase price was allocated to identifiable tangible and intangible assets acquired based on their estimated fair values at the acquisition date. The Company has completed its preliminary purchase price allocation and has recorded $39.3 million in property, plant and equipment; $3.0 million in intangible assets; $2.3 million in other assets; and $3.7 million of assumed liabilities on the date of acquisition. The Company has recognized $2.0 million of transaction related expenses associated with the transaction in Mountain and Lodging operating expense in the Consolidated Statements of Operations for the year ended July 31, 2017. The operating results of Stowe are reported within the Mountain segment.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Whistler Blackcomb</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17, 2016, the Company, through Exchangeco, acquired all of the outstanding common shares of Whistler Blackcomb, for aggregate purchase consideration paid to Whistler Blackcomb shareholders of $1.09 billion. The consideration paid consisted of (i) approximately C$673.8 million ($512.6 million) in cash (or C$17.50 per Whistler Blackcomb share), (ii)3,327,719 Vail Shares and (iii) 418,095 Exchangeco Shares. Each Exchangeco Share is exchangeable by the holder thereof for one Vail Share (subject to customary adjustments for stock splits or other reorganizations). In addition, the Company may require all outstanding Exchangeco Shares to be exchanged into an equal number of Vail Shares upon the occurrence of certain events and at any time following the seventh anniversary of the closing of the acquisition. While outstanding, holders of Exchangeco Shares are entitled to cast votes on matters for which holders of Vail Shares are entitled to vote and are entitled to receive dividends economically equivalent to the dividends declared by the Company with respect to the Vail Shares.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229" w:right="239" w:bottom="1440" w:gutter="0" w:footer="0" w:header="0"/>
        </w:sectPr>
      </w:pPr>
    </w:p>
    <w:bookmarkStart w:id="78" w:name="page79"/>
    <w:bookmarkEnd w:id="78"/>
    <w:p>
      <w:pPr>
        <w:jc w:val="both"/>
        <w:spacing w:after="0" w:line="256" w:lineRule="auto"/>
        <w:rPr>
          <w:sz w:val="20"/>
          <w:szCs w:val="20"/>
          <w:color w:val="auto"/>
        </w:rPr>
      </w:pPr>
      <w:r>
        <w:rPr>
          <w:rFonts w:ascii="Times New Roman" w:cs="Times New Roman" w:eastAsia="Times New Roman" w:hAnsi="Times New Roman"/>
          <w:sz w:val="18"/>
          <w:szCs w:val="18"/>
          <w:color w:val="auto"/>
        </w:rPr>
        <w:t>Whistler Blackcomb owns a 75% interest in each of Whistler LP and Blackcomb LP (the “WB Partnerships”), which together operate Whistler Blackcomb resort, a year round mountain resort in British Columbia, Canada with a comprehensive offering of recreational activities, including both snow sports and summer activities. The remaining 25% limited partnership interest in each of the WB Partnerships is owned by Nippon Cable Co. Ltd. (“Nippon Cable”), an unrelated party to the Company. The WB Partnerships hold land leases and rights-of-way under long-term agreements with the government of the province of British Columbia, Canada within the traditional territory of the Squamish and Lil’wat Nations, which provide for the use of land at Whistler Mountain and Blackcomb Mountain.</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executed forward contracts for the underlying Canadian dollar cash consideration to economically hedge the risk associated with the U.S. dollar to Canadian dollar exchange rates. The Company’s total cost was $509.2 million to accumulate C$673.8 million which was required for the cash component of the purchase consideration. The estimated fair value of the Canadian dollars was approximately $512.6 million upon settlement. Accordingly, the Company realized a gain of $3.4 million on foreign currency exchange rate changes. The gain on foreign currency is a separate transaction as it primarily benefited the Company and therefore the Company recorded this gain within Investment income and other, net in its Consolidated Statements of Operations. The estimated fair value of $512.6 million is considered the cash component of the purchase consideration.</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held shares of Whistler Blackcomb common stock prior to the acquisition and, as such, the acquisition-date estimated fair value of this previously held investment was a component of the purchase consideration. Based on the acquisition-date estimated fair value of this investment of $4.3 million, the Company recorded a gain of $0.8 million within Investment income and other, net in its Consolidated Statements of Operations.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Nippon Cable’s 25% limited partnership interest is a noncontrolling economic interest containing certain protective rights and no ability to participate in the day to day operations of the WB Partnerships. The WB Partnership agreements provide that distributions made out of the partnerships be made on the basis of 75% to Whistler Blackcomb and 25% to Nippon Cable. In addition, based upon the terms of the WB Partnership agreements, the annual distribution rights are non-transferable and transfer of the limited partnership interest is limited to Nippon Cable’s entire interest. Accordingly, the estimate of fair value associated with the noncontrolling interest at the date of acquisition has been determined based on expected underlying cash flows of the WB Partnerships discounted at a rate commensurate with a market participant’s expected rate of return for an equity instrument with these associated restrictions.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1012" w:right="239" w:bottom="1440" w:gutter="0" w:footer="0" w:header="0"/>
        </w:sectPr>
      </w:pPr>
    </w:p>
    <w:bookmarkStart w:id="79" w:name="page80"/>
    <w:bookmarkEnd w:id="79"/>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summarizes the purchase consideration and the estimated fair values of the identifiable assets acquired and liabilities assumed at the date the transaction was effective (in thousands, except exchange ratio and share price):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exchange ratio and share price amounts)</w:t>
            </w:r>
          </w:p>
        </w:tc>
        <w:tc>
          <w:tcPr>
            <w:tcW w:w="120" w:type="dxa"/>
            <w:vAlign w:val="bottom"/>
            <w:vMerge w:val="restart"/>
          </w:tcPr>
          <w:p>
            <w:pPr>
              <w:spacing w:after="0"/>
              <w:rPr>
                <w:sz w:val="12"/>
                <w:szCs w:val="12"/>
                <w:color w:val="auto"/>
              </w:rPr>
            </w:pP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8"/>
              </w:rPr>
              <w:t>Acquisition Date Estimated Fair</w:t>
            </w:r>
          </w:p>
        </w:tc>
        <w:tc>
          <w:tcPr>
            <w:tcW w:w="0" w:type="dxa"/>
            <w:vAlign w:val="bottom"/>
          </w:tcPr>
          <w:p>
            <w:pPr>
              <w:spacing w:after="0"/>
              <w:rPr>
                <w:sz w:val="1"/>
                <w:szCs w:val="1"/>
                <w:color w:val="auto"/>
              </w:rPr>
            </w:pPr>
          </w:p>
        </w:tc>
      </w:tr>
      <w:tr>
        <w:trPr>
          <w:trHeight w:val="177"/>
        </w:trPr>
        <w:tc>
          <w:tcPr>
            <w:tcW w:w="94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249"/>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Whistler Blackcomb shares acquired</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38,500</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Exchange ratio as of October 14, 2016</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0.097294</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Vail Resorts shares issued to Whistler Blackcomb shareholders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3,746</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Vail Resorts closing share price on October 14, 2016</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153.41</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value of Vail Resorts shares issued</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574,645</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cash consideration paid at C$17.50 ($13.31 on October 17, 2016) per Whistler Blackcomb share</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512,558</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purchase consideration to Whistler Blackcomb shareholders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1,087,203</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Estimated fair value of previously held investment in Whistler Blackcomb</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4,308</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Estimated fair value of Nippon Cable’s 25% interest in Whistler Blackcomb</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182,579</w:t>
            </w:r>
          </w:p>
        </w:tc>
        <w:tc>
          <w:tcPr>
            <w:tcW w:w="0" w:type="dxa"/>
            <w:vAlign w:val="bottom"/>
          </w:tcPr>
          <w:p>
            <w:pPr>
              <w:spacing w:after="0"/>
              <w:rPr>
                <w:sz w:val="1"/>
                <w:szCs w:val="1"/>
                <w:color w:val="auto"/>
              </w:rPr>
            </w:pPr>
          </w:p>
        </w:tc>
      </w:tr>
      <w:tr>
        <w:trPr>
          <w:trHeight w:val="297"/>
        </w:trPr>
        <w:tc>
          <w:tcPr>
            <w:tcW w:w="96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Total estimated purchase consideration</w:t>
            </w:r>
          </w:p>
        </w:tc>
        <w:tc>
          <w:tcPr>
            <w:tcW w:w="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1,274,090</w:t>
            </w:r>
          </w:p>
        </w:tc>
        <w:tc>
          <w:tcPr>
            <w:tcW w:w="0" w:type="dxa"/>
            <w:vAlign w:val="bottom"/>
          </w:tcPr>
          <w:p>
            <w:pPr>
              <w:spacing w:after="0"/>
              <w:rPr>
                <w:sz w:val="1"/>
                <w:szCs w:val="1"/>
                <w:color w:val="auto"/>
              </w:rPr>
            </w:pPr>
          </w:p>
        </w:tc>
      </w:tr>
      <w:tr>
        <w:trPr>
          <w:trHeight w:val="271"/>
        </w:trPr>
        <w:tc>
          <w:tcPr>
            <w:tcW w:w="9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Allocation of total estimated purchase consideration:</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Estimated fair values of assets acquired:</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36,820</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332,609</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Real estate held for sale and investment</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8,216</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956,739</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Identifiable intangibles</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152,035</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7,861</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1,973</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(74,086)</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Assumed long-term debt</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(144,922)</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0" w:type="dxa"/>
            <w:vAlign w:val="bottom"/>
          </w:tcPr>
          <w:p>
            <w:pPr>
              <w:spacing w:after="0"/>
              <w:rPr>
                <w:sz w:val="1"/>
                <w:szCs w:val="1"/>
                <w:color w:val="auto"/>
              </w:rPr>
            </w:pPr>
          </w:p>
        </w:tc>
      </w:tr>
      <w:tr>
        <w:trPr>
          <w:trHeight w:val="257"/>
        </w:trPr>
        <w:tc>
          <w:tcPr>
            <w:tcW w:w="9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assets acquired</w:t>
            </w:r>
          </w:p>
        </w:tc>
        <w:tc>
          <w:tcPr>
            <w:tcW w:w="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1,274,090</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July 31, 2017, the Company recorded adjustments in the measurement period to its purchase price allocation of $7.9 million, net, which primarily increased the deferred income taxes, net asset with a corresponding decrease to goodwill.</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estimated fair values of assets acquired and liabilities assumed in the acquisition of Whistler Blackcomb are substantially complete and are based on the information that was available as of the acquisition date. The Company believes such information provides a reasonable basis for estimating the fair values of assets acquired and liabilities assumed; however, the Company is obtaining additional information necessary to finalize those estimated fair values. Therefore, the measurements of estimated fair values reflected are subject to change. The Company expects to finalize the valuation and complete the purchase consideration allocation no later than one year from the acquisition date.</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fair values of definite-lived and indefinite-lived identifiable intangible assets were determined using significant estimates and assumptions. The estimated fair value and estimated useful lives of identifiable intangible assets, where applicable, are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r>
      <w:tr>
        <w:trPr>
          <w:trHeight w:val="212"/>
        </w:trPr>
        <w:tc>
          <w:tcPr>
            <w:tcW w:w="7660" w:type="dxa"/>
            <w:vAlign w:val="bottom"/>
          </w:tcPr>
          <w:p>
            <w:pPr>
              <w:spacing w:after="0"/>
              <w:rPr>
                <w:sz w:val="18"/>
                <w:szCs w:val="18"/>
                <w:color w:val="auto"/>
              </w:rPr>
            </w:pPr>
          </w:p>
        </w:tc>
        <w:tc>
          <w:tcPr>
            <w:tcW w:w="1820" w:type="dxa"/>
            <w:vAlign w:val="bottom"/>
            <w:gridSpan w:val="2"/>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Estimated Fair Value</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Amortization Period</w:t>
            </w:r>
          </w:p>
        </w:tc>
      </w:tr>
      <w:tr>
        <w:trPr>
          <w:trHeight w:val="33"/>
        </w:trPr>
        <w:tc>
          <w:tcPr>
            <w:tcW w:w="76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xml:space="preserve">(in years) </w:t>
            </w:r>
            <w:r>
              <w:rPr>
                <w:rFonts w:ascii="Times New Roman" w:cs="Times New Roman" w:eastAsia="Times New Roman" w:hAnsi="Times New Roman"/>
                <w:sz w:val="21"/>
                <w:szCs w:val="21"/>
                <w:b w:val="1"/>
                <w:bCs w:val="1"/>
                <w:color w:val="auto"/>
                <w:w w:val="96"/>
                <w:vertAlign w:val="superscript"/>
              </w:rPr>
              <w:t>(1)</w:t>
            </w: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w:t>
            </w:r>
          </w:p>
        </w:tc>
        <w:tc>
          <w:tcPr>
            <w:tcW w:w="520" w:type="dxa"/>
            <w:vAlign w:val="bottom"/>
            <w:tcBorders>
              <w:bottom w:val="single" w:sz="8" w:color="CCEEFF"/>
            </w:tcBorders>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139,977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Season pass holder relationships</w:t>
            </w:r>
          </w:p>
        </w:tc>
        <w:tc>
          <w:tcPr>
            <w:tcW w:w="5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7,950</w:t>
            </w:r>
          </w:p>
        </w:tc>
        <w:tc>
          <w:tcPr>
            <w:tcW w:w="1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7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management contracts</w:t>
            </w:r>
          </w:p>
        </w:tc>
        <w:tc>
          <w:tcPr>
            <w:tcW w:w="5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4,108</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50"/>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acquired identifiable intangible assets</w:t>
            </w:r>
          </w:p>
        </w:tc>
        <w:tc>
          <w:tcPr>
            <w:tcW w:w="52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152,035</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8890</wp:posOffset>
            </wp:positionV>
            <wp:extent cx="11576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ind w:left="180" w:hanging="172"/>
        <w:spacing w:after="0"/>
        <w:tabs>
          <w:tab w:leader="none" w:pos="180" w:val="left"/>
        </w:tabs>
        <w:numPr>
          <w:ilvl w:val="0"/>
          <w:numId w:val="4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Trademarks and property management contracts are indefinite-lived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-141605</wp:posOffset>
            </wp:positionV>
            <wp:extent cx="11576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excess of the purchase consideration over the aggregate estimated fair values of assets acquired and liabilities assumed was recorded as goodwill. The goodwill recognized is attributable primarily to expected cost efficiencies from the elimination of certain</w:t>
      </w:r>
    </w:p>
    <w:p>
      <w:pPr>
        <w:sectPr>
          <w:pgSz w:w="11900" w:h="16838" w:orient="portrait"/>
          <w:cols w:equalWidth="0" w:num="1">
            <w:col w:w="11420"/>
          </w:cols>
          <w:pgMar w:left="240" w:top="1013"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1013" w:right="239" w:bottom="1440" w:gutter="0" w:footer="0" w:header="0"/>
          <w:type w:val="continuous"/>
        </w:sectPr>
      </w:pPr>
    </w:p>
    <w:bookmarkStart w:id="80" w:name="page81"/>
    <w:bookmarkEnd w:id="80"/>
    <w:p>
      <w:pPr>
        <w:jc w:val="both"/>
        <w:spacing w:after="0" w:line="256" w:lineRule="auto"/>
        <w:rPr>
          <w:sz w:val="20"/>
          <w:szCs w:val="20"/>
          <w:color w:val="auto"/>
        </w:rPr>
      </w:pPr>
      <w:r>
        <w:rPr>
          <w:rFonts w:ascii="Times New Roman" w:cs="Times New Roman" w:eastAsia="Times New Roman" w:hAnsi="Times New Roman"/>
          <w:sz w:val="18"/>
          <w:szCs w:val="18"/>
          <w:color w:val="auto"/>
        </w:rPr>
        <w:t>public company costs as well as other select areas of general and administrative functions, synergies, including utilization of the Company’s yield management strategies at Whistler Blackcomb and increased season pass sales and visitation across the Company’s resort portfolio, the assembled workforce of Whistler Blackcomb and other factors. The goodwill is not expected to be deductible for income tax purposes. The operating results of Whistler Blackcomb, which are primarily recorded in the Mountain segment, contributed $257.8 million of net revenue and $65.6 million of earnings for the year ended July 31, 2017, prospectively from the acquisition date of October 17, 2016. The Company recognized $3.2 million of Whistler Blackcomb transaction related expenses in Mountain and Lodging operating expense in the Consolidated Statements of Operations for the year ended July 31, 2017.</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23, 2017, Whistler LP, by its general partner Whistler Blackcomb Holdings Inc. (“WBHI”), a wholly-owned subsidiary of the Company, entered into a master development agreement (the “Whistler MDA”) with Her Majesty, the Queen in Right of British Columbia (the “Province”) with respect to the operation and development of Whistler Mountain. Additionally, on February 23, 2017, Blackcomb LP, by its general partner WBHI, entered into a master development agreement (the “Blackcomb MDA” and together with the Whistler MDA, the “MDAs”) with the Province with respect to the operation and development of Blackcomb Mountain. Each of Whistler LP and Blackcomb LP were operating under existing master development agreements that terminated upon execution of the new MDAs. The MDAs grant a general license to the WB Partnerships to use the Whistler Mountain lands and the Blackcomb Mountain lands for the operation and development of the Whistler Blackcomb Resort. Each WB Partnership is permitted to develop new improvements to Whistler Mountain or Blackcomb Mountain, as the case may be, within standard municipal type development control conditions. The MDAs each have a term of 60 years and are replaceable for an additional 60 years by option exercisable by the WB Partnerships after the first 30 years of the initial term. In accordance with the MDAs, each WB Partnership is obligated to pay annual fees to the Province at a rate of 2% of certain gross revenues related to the Whistler Blackcomb Resort.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Whistler Blackcomb Pro Forma Financial Information</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presents the unaudited pro forma consolidated financial information of the Company as if the acquisition of Whistler Blackcomb was completed on August 1, 2015. The following unaudited pro forma financial information includes adjustments for (i) depreciation on acquired property, plant and equipment; (ii) amortization of intangible assets recorded at the date of the transactions; (iii) transaction and business integration related costs; (iv) interest expense associated with financing the cash portion of the acquisition; and (v) total weighted average shares outstanding related to the acquisition; and excludes the impact of the intercompany loan. This unaudited pro forma financial information is presented for informational purposes only and does not purport to be indicative of the results of future operations or the results that would have occurred had the transaction taken place on August 1, 2015 (in thousands, except per share amounts).</w:t>
      </w:r>
    </w:p>
    <w:p>
      <w:pPr>
        <w:spacing w:after="0" w:line="131"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8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Year Ended July 31,</w:t>
            </w:r>
          </w:p>
        </w:tc>
      </w:tr>
      <w:tr>
        <w:trPr>
          <w:trHeight w:val="27"/>
        </w:trPr>
        <w:tc>
          <w:tcPr>
            <w:tcW w:w="8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8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40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8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net 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1,929,882</w:t>
            </w: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1,835,924</w:t>
            </w: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net income attributable to Vail Resorts, Inc.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212,475</w:t>
            </w: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170,855</w:t>
            </w:r>
          </w:p>
        </w:tc>
      </w:tr>
      <w:tr>
        <w:trPr>
          <w:trHeight w:val="27"/>
        </w:trPr>
        <w:tc>
          <w:tcPr>
            <w:tcW w:w="8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basic net income per share attributable to Vail Resorts, Inc.</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4.27</w:t>
            </w: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diluted net income per share attributable to Vail Resorts, Inc.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4.16</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Wilmot Mountain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19, 2016, the Company, through a wholly-owned subsidiary, acquired all of the assets of Wilmot, a ski area located in Wisconsin near the Illinois state line, for total cash consideration of $20.2 million. The purchase price was allocated to identifiable tangible and intangible assets acquired and liabilities assumed based on their estimated fair value at the acquisition date. The Company has completed its purchase price allocation and has recorded $12.5 million in property, plant and equipment, $0.2 million in other assets, $0.4 million in other intangible assets (with a weighted-average amortization period of 10 years at the date of acquisition) and $0.3 million of assumed liabilities on the date of acquisition. The excess of the purchase price over the aggregate fair value of assets acquired and liabilities assumed was $7.4 million and was recorded as goodwill. The goodwill recognized is attributable primarily to expected synergies, the assembled workforce of Wilmot and other factors. The goodwill is deductible for income tax purposes. The operating results of Wilmot are reported within the Mountain segment.</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1013"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i w:val="1"/>
          <w:iCs w:val="1"/>
          <w:color w:val="auto"/>
        </w:rPr>
        <w:t>Perisher Ski Resort</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30, 2015, the Company, through a wholly-owned subsidiary, acquired all of the entities that operate Perisher in New South Wales, Australia for total cash consideration of $124.6 million, net of cash acquired. The Company funded the cash purchase price through borrowings under the revolver portion of the Vail Holdings Credit Agreement. Perisher holds a long-term lease and license with the New South Wales Government under the National Parks and Wildlife Act, which expires in 2048 with a 20-year renewal option. The Company acquired the entities that hold the assets and conduct operations, including the long-term lease and license with the New South Wales government for the ski area and related amenities of Perisher, as well as assumed liabilities.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summarizes the estimated fair values of the identifiable assets acquired and liabilities assumed at the date the transaction was effective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6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Acquisition Date</w:t>
            </w:r>
          </w:p>
        </w:tc>
      </w:tr>
      <w:tr>
        <w:trPr>
          <w:trHeight w:val="238"/>
        </w:trPr>
        <w:tc>
          <w:tcPr>
            <w:tcW w:w="6580" w:type="dxa"/>
            <w:vAlign w:val="bottom"/>
          </w:tcPr>
          <w:p>
            <w:pPr>
              <w:spacing w:after="0"/>
              <w:rPr>
                <w:sz w:val="20"/>
                <w:szCs w:val="20"/>
                <w:color w:val="auto"/>
              </w:rPr>
            </w:pPr>
          </w:p>
        </w:tc>
        <w:tc>
          <w:tcPr>
            <w:tcW w:w="48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Estimated Fair Value</w:t>
            </w:r>
          </w:p>
        </w:tc>
      </w:tr>
      <w:tr>
        <w:trPr>
          <w:trHeight w:val="27"/>
        </w:trPr>
        <w:tc>
          <w:tcPr>
            <w:tcW w:w="65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w:t>
            </w:r>
          </w:p>
        </w:tc>
        <w:tc>
          <w:tcPr>
            <w:tcW w:w="3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1,494</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32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4,859</w:t>
            </w:r>
          </w:p>
        </w:tc>
      </w:tr>
      <w:tr>
        <w:trPr>
          <w:trHeight w:val="27"/>
        </w:trPr>
        <w:tc>
          <w:tcPr>
            <w:tcW w:w="65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126,287</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32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5,458</w:t>
            </w:r>
          </w:p>
        </w:tc>
      </w:tr>
      <w:tr>
        <w:trPr>
          <w:trHeight w:val="27"/>
        </w:trPr>
        <w:tc>
          <w:tcPr>
            <w:tcW w:w="65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3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2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31,657</w:t>
            </w:r>
          </w:p>
        </w:tc>
      </w:tr>
      <w:tr>
        <w:trPr>
          <w:trHeight w:val="27"/>
        </w:trPr>
        <w:tc>
          <w:tcPr>
            <w:tcW w:w="65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6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32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170,280</w:t>
            </w:r>
          </w:p>
        </w:tc>
      </w:tr>
      <w:tr>
        <w:trPr>
          <w:trHeight w:val="237"/>
        </w:trPr>
        <w:tc>
          <w:tcPr>
            <w:tcW w:w="65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2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11,394</w:t>
            </w:r>
          </w:p>
        </w:tc>
      </w:tr>
      <w:tr>
        <w:trPr>
          <w:trHeight w:val="27"/>
        </w:trPr>
        <w:tc>
          <w:tcPr>
            <w:tcW w:w="65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3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15,906</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 liability, net</w:t>
            </w:r>
          </w:p>
        </w:tc>
        <w:tc>
          <w:tcPr>
            <w:tcW w:w="32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18,429</w:t>
            </w:r>
          </w:p>
        </w:tc>
      </w:tr>
      <w:tr>
        <w:trPr>
          <w:trHeight w:val="27"/>
        </w:trPr>
        <w:tc>
          <w:tcPr>
            <w:tcW w:w="65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6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2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45,729</w:t>
            </w:r>
          </w:p>
        </w:tc>
      </w:tr>
      <w:tr>
        <w:trPr>
          <w:trHeight w:val="237"/>
        </w:trPr>
        <w:tc>
          <w:tcPr>
            <w:tcW w:w="658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Total purchase price, net of cash acquired</w:t>
            </w:r>
          </w:p>
        </w:tc>
        <w:tc>
          <w:tcPr>
            <w:tcW w:w="3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124,551</w:t>
            </w:r>
          </w:p>
        </w:tc>
      </w:tr>
      <w:tr>
        <w:trPr>
          <w:trHeight w:val="27"/>
        </w:trPr>
        <w:tc>
          <w:tcPr>
            <w:tcW w:w="65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658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excess of the purchase price over the aggregate estimated fair values of assets acquired and liabilities assumed was recorded as goodwill. The goodwill recognized is attributable primarily to expected synergies, the assembled workforce of Perisher and other factors. None of the goodwill is deductible for income tax purposes under Australian tax law. The intangible assets primarily consist of trademarks and customer lists. The definite-lived intangible assets have a weighted-average amortization period of approximately 4 years at the date of acquisition. The operating results of Perisher, which are recorded in the Mountain segment, contributed $21.8 million of net revenue for the year ended July 31, 2015. The Company recognized $5.2 million of transaction related expenses, including duties, in Mountain and Lodging operating expense in the Consolidated Statements of Operations for the year ended July 31, 2015.</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Park City Mountain Resort</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11, 2014, VR CPC Holdings, Inc. (“VR CPC”), a wholly-owned subsidiary of the Company, and Greater Park City Company, Powdr Corp., Greater Properties, Inc., Park Properties, Inc. and Powdr Development Company (collectively, “Park City Sellers”) entered into a Purchase and Sale Agreement (the “Purchase Agreement”) providing for the acquisition of substantially all of the assets related to Park City Mountain Resort in Park City, Utah. The cash purchase price was $182.5 million and was funded through borrowings under the revolver portion of the Vail Holdings Credit Agreement.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provided under the Purchase Agreement, the Company acquired the property, assets and operations of Park City Mountain Resort, which includes the ski area and related amenities, from Park City Sellers and assumed leases of certain realty, acquired certain assets and assumed certain liabilities of Park City Sellers relating to Park City Mountain Resort. In addition to the Purchase Agreement, the parties settled the litigation related to the validity of a lease of certain land owned by Talisker Land Holdings, LLC under the ski terrain of Park City Mountain Resort (the “Park City Litigation”). In connection with settling the Park City Litigation, the Company recorded a non-cash gain of $16.4 million in the Mountain segment for the year ended July 31, 2015. The gain on litigation settlement represents the estimated fair value of the rents (including damages and interest) due the Company from the Park City Sellers for their use of land and improvements from the Canyons transaction date of May 29, 2013 to the Park City Mountain Resort acquisition date. Additionally, the Company assigned a fair value of $10.1 million to the settlement of the Park City Litigation that applied to the period prior to the Canyons transaction. The combined estimated fair value of the Park City Litigation settlement of $26.5 million was determined by applying market capitalization rates to the estimated fair market</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1173" w:right="239" w:bottom="1440" w:gutter="0" w:footer="0" w:header="0"/>
        </w:sectPr>
      </w:pPr>
    </w:p>
    <w:bookmarkStart w:id="82" w:name="page83"/>
    <w:bookmarkEnd w:id="82"/>
    <w:p>
      <w:pPr>
        <w:jc w:val="both"/>
        <w:spacing w:after="0" w:line="256" w:lineRule="auto"/>
        <w:rPr>
          <w:sz w:val="20"/>
          <w:szCs w:val="20"/>
          <w:color w:val="auto"/>
        </w:rPr>
      </w:pPr>
      <w:r>
        <w:rPr>
          <w:rFonts w:ascii="Times New Roman" w:cs="Times New Roman" w:eastAsia="Times New Roman" w:hAnsi="Times New Roman"/>
          <w:sz w:val="18"/>
          <w:szCs w:val="18"/>
          <w:color w:val="auto"/>
        </w:rPr>
        <w:t>value of the land and improvements, plus an estimate of statutory damages and interest. The estimated fair value of the Park City Litigation settlement was not received in cash, but was instead reflected as part of the cash price negotiated for the Park City Mountain Resort acquisition. Accordingly, the estimated fair value of the Park City Litigation settlement was included in the total consideration for the acquisition of Park City Mountain Resort. However, the gain on the Park City Litigation settlement was recorded as a separate transaction, as discussed above. Under an agreement entered into in conjunction with the Canyons transaction, the Company made a $10.0 million payment to Talisker in the year ended July 31, 2015, resulting from the settlement of the Park City Litigation.</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summarizes the estimated fair values of the identifiable assets acquired and liabilities assumed at the date the transaction was effective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6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Acquisition Date</w:t>
            </w:r>
          </w:p>
        </w:tc>
      </w:tr>
      <w:tr>
        <w:trPr>
          <w:trHeight w:val="238"/>
        </w:trPr>
        <w:tc>
          <w:tcPr>
            <w:tcW w:w="6280" w:type="dxa"/>
            <w:vAlign w:val="bottom"/>
          </w:tcPr>
          <w:p>
            <w:pPr>
              <w:spacing w:after="0"/>
              <w:rPr>
                <w:sz w:val="20"/>
                <w:szCs w:val="20"/>
                <w:color w:val="auto"/>
              </w:rPr>
            </w:pPr>
          </w:p>
        </w:tc>
        <w:tc>
          <w:tcPr>
            <w:tcW w:w="5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Estimated Fair Value</w:t>
            </w:r>
          </w:p>
        </w:tc>
      </w:tr>
      <w:tr>
        <w:trPr>
          <w:trHeight w:val="27"/>
        </w:trPr>
        <w:tc>
          <w:tcPr>
            <w:tcW w:w="628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w:t>
            </w:r>
          </w:p>
        </w:tc>
        <w:tc>
          <w:tcPr>
            <w:tcW w:w="3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930</w:t>
            </w: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35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3,075</w:t>
            </w:r>
          </w:p>
        </w:tc>
      </w:tr>
      <w:tr>
        <w:trPr>
          <w:trHeight w:val="27"/>
        </w:trPr>
        <w:tc>
          <w:tcPr>
            <w:tcW w:w="62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76,605</w:t>
            </w: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35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7,428</w:t>
            </w:r>
          </w:p>
        </w:tc>
      </w:tr>
      <w:tr>
        <w:trPr>
          <w:trHeight w:val="27"/>
        </w:trPr>
        <w:tc>
          <w:tcPr>
            <w:tcW w:w="62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 held for sale and investment</w:t>
            </w:r>
          </w:p>
        </w:tc>
        <w:tc>
          <w:tcPr>
            <w:tcW w:w="3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7,000</w:t>
            </w: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35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27,650</w:t>
            </w:r>
          </w:p>
        </w:tc>
      </w:tr>
      <w:tr>
        <w:trPr>
          <w:trHeight w:val="27"/>
        </w:trPr>
        <w:tc>
          <w:tcPr>
            <w:tcW w:w="62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5"/>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5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92,516</w:t>
            </w:r>
          </w:p>
        </w:tc>
      </w:tr>
      <w:tr>
        <w:trPr>
          <w:trHeight w:val="237"/>
        </w:trPr>
        <w:tc>
          <w:tcPr>
            <w:tcW w:w="62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35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215,204</w:t>
            </w:r>
          </w:p>
        </w:tc>
      </w:tr>
      <w:tr>
        <w:trPr>
          <w:trHeight w:val="27"/>
        </w:trPr>
        <w:tc>
          <w:tcPr>
            <w:tcW w:w="628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1,935</w:t>
            </w: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35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4,319</w:t>
            </w:r>
          </w:p>
        </w:tc>
      </w:tr>
      <w:tr>
        <w:trPr>
          <w:trHeight w:val="27"/>
        </w:trPr>
        <w:tc>
          <w:tcPr>
            <w:tcW w:w="628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5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6,254</w:t>
            </w:r>
          </w:p>
        </w:tc>
      </w:tr>
      <w:tr>
        <w:trPr>
          <w:trHeight w:val="237"/>
        </w:trPr>
        <w:tc>
          <w:tcPr>
            <w:tcW w:w="628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Total purchase price</w:t>
            </w:r>
          </w:p>
        </w:tc>
        <w:tc>
          <w:tcPr>
            <w:tcW w:w="3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208,950</w:t>
            </w:r>
          </w:p>
        </w:tc>
      </w:tr>
      <w:tr>
        <w:trPr>
          <w:trHeight w:val="27"/>
        </w:trPr>
        <w:tc>
          <w:tcPr>
            <w:tcW w:w="628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628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July 31, 2015, the Company recorded an adjustment in the measurement period to its purchase price allocation of $13.0 million, which reduced real estate held for sale and investment with a corresponding increase to goodwill.</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excess of the purchase price over the aggregate estimated fair values of assets acquired and liabilities assumed was recorded as goodwill. The goodwill recognized is attributable primarily to expected synergies, the assembled workforce of Park City Mountain Resort and other factors. The majority of goodwill is deductible for income tax purposes. The intangible assets primarily consist of trademarks, water rights and customer lists. The intangible assets have a weighted-average amortization period of approximately 46 years at the date of acquisition. The operating results of Park City Mountain Resort, which are recorded in the Mountain segment, contributed $67.1 million of net revenue (including an allocation of season pass revenue) for the year ended July 31, 2015. The Company recognized $0.8 million of transaction related expenses in Mountain and Lodging operating expense in the Consolidated Statements of Operations for the year ended July 31, 2015.</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land and improvements in the Park City Mountain Resort ski area (excluding the base area) were part of the Talisker leased premises to Park City Mountain Resort and was subject to the Park City Litigation as of the Canyons transaction date, and as such, was recorded as a deposit (“Park City Deposit”) for the potential future interests in the land and associated improvements at its estimated fair value in conjunction with the Canyons Transaction Agreement. Upon settlement of the Park City Litigation, the land and improvements associated with the Talisker leased premises became subject to the Canyons lease, and as a result, the Company reclassified the Park City Deposit to the respective assets within property, plant and equipment in the year ended July 31, 2015. The inclusion of the land and certain land improvements that was subject to the Park City Litigation and now included in the Canyons lease requires no additional consideration from the Company to Talisker, but the financial contribution from the operations of Park City Mountain Resort will be included as part of the calculation of EBITDA for the resort operations, and as a result, factor into the participating contingent payments (see Note 8, Fair Value Measurements). The majority of the assets acquired under the Park City Mountain Resort acquisition, although not under lease, are subject to the terms and conditions of the Canyons lease.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1012" w:right="239" w:bottom="1440" w:gutter="0" w:footer="0" w:header="0"/>
        </w:sectPr>
      </w:pPr>
    </w:p>
    <w:bookmarkStart w:id="83" w:name="page84"/>
    <w:bookmarkEnd w:id="83"/>
    <w:p>
      <w:pPr>
        <w:ind w:left="660" w:hanging="652"/>
        <w:spacing w:after="0"/>
        <w:tabs>
          <w:tab w:leader="none" w:pos="6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Supplementary Balance Sheet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property, plant and equipment, including capital lease assets, follows (in thousands):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1300" w:type="dxa"/>
            <w:vAlign w:val="bottom"/>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540" w:type="dxa"/>
            <w:vAlign w:val="bottom"/>
          </w:tcPr>
          <w:p>
            <w:pPr>
              <w:spacing w:after="0"/>
              <w:rPr>
                <w:sz w:val="20"/>
                <w:szCs w:val="20"/>
                <w:color w:val="auto"/>
              </w:rPr>
            </w:pPr>
          </w:p>
        </w:tc>
        <w:tc>
          <w:tcPr>
            <w:tcW w:w="13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553,655</w:t>
            </w:r>
          </w:p>
        </w:tc>
        <w:tc>
          <w:tcPr>
            <w:tcW w:w="5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440,300</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1,210,864</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1,025,515</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987,080</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866,008</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Furniture and fixtures</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280,292</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284,959</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Software</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108,048</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103,754</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Vehicles</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59,596</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58,159</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49,359</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39,396</w:t>
            </w:r>
          </w:p>
        </w:tc>
      </w:tr>
      <w:tr>
        <w:trPr>
          <w:trHeight w:val="237"/>
        </w:trPr>
        <w:tc>
          <w:tcPr>
            <w:tcW w:w="77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3,248,894</w:t>
            </w:r>
          </w:p>
        </w:tc>
        <w:tc>
          <w:tcPr>
            <w:tcW w:w="5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2,818,091</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(1,534,740)</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(1,454,277)</w:t>
            </w:r>
          </w:p>
        </w:tc>
      </w:tr>
      <w:tr>
        <w:trPr>
          <w:trHeight w:val="237"/>
        </w:trPr>
        <w:tc>
          <w:tcPr>
            <w:tcW w:w="77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1,714,154</w:t>
            </w:r>
          </w:p>
        </w:tc>
        <w:tc>
          <w:tcPr>
            <w:tcW w:w="5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1,363,814</w:t>
            </w:r>
          </w:p>
        </w:tc>
      </w:tr>
      <w:tr>
        <w:trPr>
          <w:trHeight w:val="27"/>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July 31, 2016, the Company recorded the disposal of gross property, plant and equipment of $67.4 million from prior years, which had been fully depreciated resulting in a corresponding reduction to accumulated depreciation and no net effect to the net carrying value of Property, plant and equipment, net. Depreciation expense, which included depreciation of assets recorded under capital leases, for the years ended July 31, 2017, 2016 and 2015 totaled $180.8 million, $156.8 million and $144.0 million, respectively.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composition of property, plant and equipment recorded under capital leases as of July 31, 2017 and 2016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1300" w:type="dxa"/>
            <w:vAlign w:val="bottom"/>
          </w:tcPr>
          <w:p>
            <w:pPr>
              <w:spacing w:after="0"/>
              <w:rPr>
                <w:sz w:val="20"/>
                <w:szCs w:val="20"/>
                <w:color w:val="auto"/>
              </w:rPr>
            </w:pPr>
          </w:p>
        </w:tc>
      </w:tr>
      <w:tr>
        <w:trPr>
          <w:trHeight w:val="27"/>
        </w:trPr>
        <w:tc>
          <w:tcPr>
            <w:tcW w:w="42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spacing w:after="0"/>
              <w:rPr>
                <w:sz w:val="20"/>
                <w:szCs w:val="20"/>
                <w:color w:val="auto"/>
              </w:rPr>
            </w:pPr>
          </w:p>
        </w:tc>
        <w:tc>
          <w:tcPr>
            <w:tcW w:w="4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2017</w:t>
            </w: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422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4660" w:type="dxa"/>
            <w:vAlign w:val="bottom"/>
            <w:tcBorders>
              <w:bottom w:val="single" w:sz="8" w:color="CCEEFF"/>
            </w:tcBorders>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31,818</w:t>
            </w:r>
          </w:p>
        </w:tc>
        <w:tc>
          <w:tcPr>
            <w:tcW w:w="5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31,818</w:t>
            </w:r>
          </w:p>
        </w:tc>
      </w:tr>
      <w:tr>
        <w:trPr>
          <w:trHeight w:val="243"/>
        </w:trPr>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Land improvements</w:t>
            </w:r>
          </w:p>
        </w:tc>
        <w:tc>
          <w:tcPr>
            <w:tcW w:w="3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49,228</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49,228</w:t>
            </w:r>
          </w:p>
        </w:tc>
      </w:tr>
      <w:tr>
        <w:trPr>
          <w:trHeight w:val="27"/>
        </w:trPr>
        <w:tc>
          <w:tcPr>
            <w:tcW w:w="42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3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42,910</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42,910</w:t>
            </w:r>
          </w:p>
        </w:tc>
      </w:tr>
      <w:tr>
        <w:trPr>
          <w:trHeight w:val="243"/>
        </w:trPr>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3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61,156</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61,175</w:t>
            </w:r>
          </w:p>
        </w:tc>
      </w:tr>
      <w:tr>
        <w:trPr>
          <w:trHeight w:val="27"/>
        </w:trPr>
        <w:tc>
          <w:tcPr>
            <w:tcW w:w="422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3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185,112</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185,131</w:t>
            </w:r>
          </w:p>
        </w:tc>
      </w:tr>
      <w:tr>
        <w:trPr>
          <w:trHeight w:val="243"/>
        </w:trPr>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5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(27,110)</w:t>
            </w:r>
          </w:p>
        </w:tc>
      </w:tr>
      <w:tr>
        <w:trPr>
          <w:trHeight w:val="27"/>
        </w:trPr>
        <w:tc>
          <w:tcPr>
            <w:tcW w:w="422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42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660" w:type="dxa"/>
            <w:vAlign w:val="bottom"/>
            <w:tcBorders>
              <w:bottom w:val="single" w:sz="8" w:color="CCEEFF"/>
            </w:tcBorders>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148,112</w:t>
            </w:r>
          </w:p>
        </w:tc>
        <w:tc>
          <w:tcPr>
            <w:tcW w:w="5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158,021</w:t>
            </w:r>
          </w:p>
        </w:tc>
      </w:tr>
      <w:tr>
        <w:trPr>
          <w:trHeight w:val="20"/>
        </w:trPr>
        <w:tc>
          <w:tcPr>
            <w:tcW w:w="4220" w:type="dxa"/>
            <w:vAlign w:val="bottom"/>
            <w:tcBorders>
              <w:top w:val="single" w:sz="8" w:color="auto"/>
              <w:bottom w:val="single" w:sz="8" w:color="auto"/>
            </w:tcBorders>
          </w:tcPr>
          <w:p>
            <w:pPr>
              <w:spacing w:after="0" w:line="20" w:lineRule="exact"/>
              <w:rPr>
                <w:sz w:val="1"/>
                <w:szCs w:val="1"/>
                <w:color w:val="auto"/>
              </w:rPr>
            </w:pPr>
          </w:p>
        </w:tc>
        <w:tc>
          <w:tcPr>
            <w:tcW w:w="3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220" w:type="dxa"/>
            <w:vAlign w:val="bottom"/>
          </w:tcPr>
          <w:p>
            <w:pPr>
              <w:spacing w:after="0"/>
              <w:rPr>
                <w:sz w:val="24"/>
                <w:szCs w:val="24"/>
                <w:color w:val="auto"/>
              </w:rPr>
            </w:pPr>
          </w:p>
        </w:tc>
        <w:tc>
          <w:tcPr>
            <w:tcW w:w="356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82</w:t>
            </w: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24" w:right="239" w:bottom="144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The composition of goodwill and intangible assets follows (in thousands):</w:t>
            </w: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67"/>
        </w:trPr>
        <w:tc>
          <w:tcPr>
            <w:tcW w:w="7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1300" w:type="dxa"/>
            <w:vAlign w:val="bottom"/>
          </w:tcPr>
          <w:p>
            <w:pPr>
              <w:spacing w:after="0"/>
              <w:rPr>
                <w:sz w:val="24"/>
                <w:szCs w:val="24"/>
                <w:color w:val="auto"/>
              </w:rPr>
            </w:pPr>
          </w:p>
        </w:tc>
      </w:tr>
      <w:tr>
        <w:trPr>
          <w:trHeight w:val="27"/>
        </w:trPr>
        <w:tc>
          <w:tcPr>
            <w:tcW w:w="77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540" w:type="dxa"/>
            <w:vAlign w:val="bottom"/>
          </w:tcPr>
          <w:p>
            <w:pPr>
              <w:spacing w:after="0"/>
              <w:rPr>
                <w:sz w:val="20"/>
                <w:szCs w:val="20"/>
                <w:color w:val="auto"/>
              </w:rPr>
            </w:pPr>
          </w:p>
        </w:tc>
        <w:tc>
          <w:tcPr>
            <w:tcW w:w="13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Goodwill</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1,537,097</w:t>
            </w:r>
          </w:p>
        </w:tc>
        <w:tc>
          <w:tcPr>
            <w:tcW w:w="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526,391</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amortization</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(17,354)</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(17,354)</w:t>
            </w:r>
          </w:p>
        </w:tc>
      </w:tr>
      <w:tr>
        <w:trPr>
          <w:trHeight w:val="237"/>
        </w:trPr>
        <w:tc>
          <w:tcPr>
            <w:tcW w:w="77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Goodwill, net</w:t>
            </w: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1,519,743</w:t>
            </w:r>
          </w:p>
        </w:tc>
        <w:tc>
          <w:tcPr>
            <w:tcW w:w="5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509,037</w:t>
            </w:r>
          </w:p>
        </w:tc>
      </w:tr>
      <w:tr>
        <w:trPr>
          <w:trHeight w:val="27"/>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05"/>
        </w:trPr>
        <w:tc>
          <w:tcPr>
            <w:tcW w:w="7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Indefinite-lived intangible assets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Trademarks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216,923</w:t>
            </w:r>
          </w:p>
        </w:tc>
        <w:tc>
          <w:tcPr>
            <w:tcW w:w="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67,705</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41,275</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37,548</w:t>
            </w:r>
          </w:p>
        </w:tc>
      </w:tr>
      <w:tr>
        <w:trPr>
          <w:trHeight w:val="237"/>
        </w:trPr>
        <w:tc>
          <w:tcPr>
            <w:tcW w:w="77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gross indefinite-lived intangible assets</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258,198</w:t>
            </w:r>
          </w:p>
        </w:tc>
        <w:tc>
          <w:tcPr>
            <w:tcW w:w="5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105,253</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amortization</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(24,713)</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(24,713)</w:t>
            </w:r>
          </w:p>
        </w:tc>
      </w:tr>
      <w:tr>
        <w:trPr>
          <w:trHeight w:val="237"/>
        </w:trPr>
        <w:tc>
          <w:tcPr>
            <w:tcW w:w="77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Indefinite-lived intangible assets, net</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233,485</w:t>
            </w:r>
          </w:p>
        </w:tc>
        <w:tc>
          <w:tcPr>
            <w:tcW w:w="5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80,540</w:t>
            </w:r>
          </w:p>
        </w:tc>
      </w:tr>
      <w:tr>
        <w:trPr>
          <w:trHeight w:val="27"/>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Amortizable intangible assets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Trademarks</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39,071</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37,635</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49,804</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41,889</w:t>
            </w:r>
          </w:p>
        </w:tc>
      </w:tr>
      <w:tr>
        <w:trPr>
          <w:trHeight w:val="237"/>
        </w:trPr>
        <w:tc>
          <w:tcPr>
            <w:tcW w:w="77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gross amortizable intangible assets</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88,875</w:t>
            </w:r>
          </w:p>
        </w:tc>
        <w:tc>
          <w:tcPr>
            <w:tcW w:w="5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79,524</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amortization</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(27,428)</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(20,057)</w:t>
            </w:r>
          </w:p>
        </w:tc>
      </w:tr>
      <w:tr>
        <w:trPr>
          <w:trHeight w:val="237"/>
        </w:trPr>
        <w:tc>
          <w:tcPr>
            <w:tcW w:w="77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Amortizable intangible assets, net</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61,447</w:t>
            </w:r>
          </w:p>
        </w:tc>
        <w:tc>
          <w:tcPr>
            <w:tcW w:w="5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59,467</w:t>
            </w:r>
          </w:p>
        </w:tc>
      </w:tr>
      <w:tr>
        <w:trPr>
          <w:trHeight w:val="27"/>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gross intangible assets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347,073</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184,777</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accumulated amortization</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(52,141)</w:t>
            </w:r>
          </w:p>
        </w:tc>
        <w:tc>
          <w:tcPr>
            <w:tcW w:w="5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(44,770)</w:t>
            </w:r>
          </w:p>
        </w:tc>
      </w:tr>
      <w:tr>
        <w:trPr>
          <w:trHeight w:val="27"/>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294,932</w:t>
            </w:r>
          </w:p>
        </w:tc>
        <w:tc>
          <w:tcPr>
            <w:tcW w:w="5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140,007</w:t>
            </w:r>
          </w:p>
        </w:tc>
      </w:tr>
      <w:tr>
        <w:trPr>
          <w:trHeight w:val="20"/>
        </w:trPr>
        <w:tc>
          <w:tcPr>
            <w:tcW w:w="7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July 31, 2016, the Company recorded the disposal of gross amortizable intangible assets of $39.4 million from prior years, which had been fully amortized resulting in a corresponding reduction to accumulated amortization and no net effect to the net carrying value of intangible assets, net. Amortization expense for intangible assets subject to amortization for the years ended July 31, 2017, 2016 and 2015 totaled $8.3 million, $4.7 million and $5.1 million, respectively, and is estimated to be approximately $3.0 million annually, on average, for the next five fiscal years.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changes in the net carrying amount of goodwill allocated between the Company’s segments for the years ended July 31, 2017 and 2016 are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Mountain</w:t>
            </w:r>
          </w:p>
        </w:tc>
        <w:tc>
          <w:tcPr>
            <w:tcW w:w="380" w:type="dxa"/>
            <w:vAlign w:val="bottom"/>
          </w:tcPr>
          <w:p>
            <w:pPr>
              <w:spacing w:after="0"/>
              <w:rPr>
                <w:sz w:val="20"/>
                <w:szCs w:val="20"/>
                <w:color w:val="auto"/>
              </w:rPr>
            </w:pPr>
          </w:p>
        </w:tc>
        <w:tc>
          <w:tcPr>
            <w:tcW w:w="14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Lodging</w:t>
            </w:r>
          </w:p>
        </w:tc>
        <w:tc>
          <w:tcPr>
            <w:tcW w:w="300" w:type="dxa"/>
            <w:vAlign w:val="bottom"/>
          </w:tcPr>
          <w:p>
            <w:pPr>
              <w:spacing w:after="0"/>
              <w:rPr>
                <w:sz w:val="20"/>
                <w:szCs w:val="20"/>
                <w:color w:val="auto"/>
              </w:rPr>
            </w:pPr>
          </w:p>
        </w:tc>
        <w:tc>
          <w:tcPr>
            <w:tcW w:w="15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Goodwill, net</w:t>
            </w:r>
          </w:p>
        </w:tc>
        <w:tc>
          <w:tcPr>
            <w:tcW w:w="0" w:type="dxa"/>
            <w:vAlign w:val="bottom"/>
          </w:tcPr>
          <w:p>
            <w:pPr>
              <w:spacing w:after="0"/>
              <w:rPr>
                <w:sz w:val="1"/>
                <w:szCs w:val="1"/>
                <w:color w:val="auto"/>
              </w:rPr>
            </w:pPr>
          </w:p>
        </w:tc>
      </w:tr>
      <w:tr>
        <w:trPr>
          <w:trHeight w:val="27"/>
        </w:trPr>
        <w:tc>
          <w:tcPr>
            <w:tcW w:w="47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July 31, 2015</w:t>
            </w: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432,534</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67,899</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500,433</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Acquisitions</w:t>
            </w:r>
          </w:p>
        </w:tc>
        <w:tc>
          <w:tcPr>
            <w:tcW w:w="15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7,400</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Effects of changes in foreign currency exchange rates</w:t>
            </w:r>
          </w:p>
        </w:tc>
        <w:tc>
          <w:tcPr>
            <w:tcW w:w="1520" w:type="dxa"/>
            <w:vAlign w:val="bottom"/>
            <w:shd w:val="clear" w:color="auto" w:fill="CCEEFF"/>
          </w:tcPr>
          <w:p>
            <w:pPr>
              <w:spacing w:after="0"/>
              <w:rPr>
                <w:sz w:val="24"/>
                <w:szCs w:val="24"/>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380" w:type="dxa"/>
            <w:vAlign w:val="bottom"/>
            <w:shd w:val="clear" w:color="auto" w:fill="CCEEFF"/>
          </w:tcPr>
          <w:p>
            <w:pPr>
              <w:spacing w:after="0"/>
              <w:rPr>
                <w:sz w:val="24"/>
                <w:szCs w:val="24"/>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4"/>
                <w:szCs w:val="24"/>
                <w:color w:val="auto"/>
              </w:rPr>
            </w:pPr>
          </w:p>
        </w:tc>
        <w:tc>
          <w:tcPr>
            <w:tcW w:w="15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108"/>
        </w:trPr>
        <w:tc>
          <w:tcPr>
            <w:tcW w:w="4760" w:type="dxa"/>
            <w:vAlign w:val="bottom"/>
            <w:tcBorders>
              <w:bottom w:val="single" w:sz="8" w:color="CCEEFF"/>
            </w:tcBorders>
            <w:shd w:val="clear" w:color="auto" w:fill="CCEEFF"/>
          </w:tcPr>
          <w:p>
            <w:pPr>
              <w:spacing w:after="0"/>
              <w:rPr>
                <w:sz w:val="9"/>
                <w:szCs w:val="9"/>
                <w:color w:val="auto"/>
              </w:rPr>
            </w:pPr>
          </w:p>
        </w:tc>
        <w:tc>
          <w:tcPr>
            <w:tcW w:w="1520" w:type="dxa"/>
            <w:vAlign w:val="bottom"/>
            <w:tcBorders>
              <w:bottom w:val="single" w:sz="8" w:color="CCEEFF"/>
            </w:tcBorders>
            <w:shd w:val="clear" w:color="auto" w:fill="CCEEFF"/>
          </w:tcPr>
          <w:p>
            <w:pPr>
              <w:spacing w:after="0"/>
              <w:rPr>
                <w:sz w:val="9"/>
                <w:szCs w:val="9"/>
                <w:color w:val="auto"/>
              </w:rPr>
            </w:pPr>
          </w:p>
        </w:tc>
        <w:tc>
          <w:tcPr>
            <w:tcW w:w="1460" w:type="dxa"/>
            <w:vAlign w:val="bottom"/>
            <w:tcBorders>
              <w:bottom w:val="single" w:sz="8" w:color="CCEEFF"/>
            </w:tcBorders>
            <w:vMerge w:val="continue"/>
            <w:shd w:val="clear" w:color="auto" w:fill="CCEEFF"/>
          </w:tcPr>
          <w:p>
            <w:pPr>
              <w:spacing w:after="0"/>
              <w:rPr>
                <w:sz w:val="9"/>
                <w:szCs w:val="9"/>
                <w:color w:val="auto"/>
              </w:rPr>
            </w:pPr>
          </w:p>
        </w:tc>
        <w:tc>
          <w:tcPr>
            <w:tcW w:w="380" w:type="dxa"/>
            <w:vAlign w:val="bottom"/>
            <w:tcBorders>
              <w:bottom w:val="single" w:sz="8" w:color="CCEEFF"/>
            </w:tcBorders>
            <w:shd w:val="clear" w:color="auto" w:fill="CCEEFF"/>
          </w:tcPr>
          <w:p>
            <w:pPr>
              <w:spacing w:after="0"/>
              <w:rPr>
                <w:sz w:val="9"/>
                <w:szCs w:val="9"/>
                <w:color w:val="auto"/>
              </w:rPr>
            </w:pPr>
          </w:p>
        </w:tc>
        <w:tc>
          <w:tcPr>
            <w:tcW w:w="1440" w:type="dxa"/>
            <w:vAlign w:val="bottom"/>
            <w:tcBorders>
              <w:bottom w:val="single" w:sz="8" w:color="CCEEFF"/>
            </w:tcBorders>
            <w:vMerge w:val="continue"/>
            <w:shd w:val="clear" w:color="auto" w:fill="CCEEFF"/>
          </w:tcPr>
          <w:p>
            <w:pPr>
              <w:spacing w:after="0"/>
              <w:rPr>
                <w:sz w:val="9"/>
                <w:szCs w:val="9"/>
                <w:color w:val="auto"/>
              </w:rPr>
            </w:pPr>
          </w:p>
        </w:tc>
        <w:tc>
          <w:tcPr>
            <w:tcW w:w="300" w:type="dxa"/>
            <w:vAlign w:val="bottom"/>
            <w:tcBorders>
              <w:bottom w:val="single" w:sz="8" w:color="CCEEFF"/>
            </w:tcBorders>
            <w:shd w:val="clear" w:color="auto" w:fill="CCEEFF"/>
          </w:tcPr>
          <w:p>
            <w:pPr>
              <w:spacing w:after="0"/>
              <w:rPr>
                <w:sz w:val="9"/>
                <w:szCs w:val="9"/>
                <w:color w:val="auto"/>
              </w:rPr>
            </w:pPr>
          </w:p>
        </w:tc>
        <w:tc>
          <w:tcPr>
            <w:tcW w:w="156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47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Balance at July 31, 2016</w:t>
            </w:r>
          </w:p>
        </w:tc>
        <w:tc>
          <w:tcPr>
            <w:tcW w:w="15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441,138</w:t>
            </w: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67,899</w:t>
            </w:r>
          </w:p>
        </w:tc>
        <w:tc>
          <w:tcPr>
            <w:tcW w:w="3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509,037</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w:t>
            </w:r>
          </w:p>
        </w:tc>
        <w:tc>
          <w:tcPr>
            <w:tcW w:w="15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956,739</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956,739</w:t>
            </w:r>
          </w:p>
        </w:tc>
        <w:tc>
          <w:tcPr>
            <w:tcW w:w="0" w:type="dxa"/>
            <w:vAlign w:val="bottom"/>
          </w:tcPr>
          <w:p>
            <w:pPr>
              <w:spacing w:after="0"/>
              <w:rPr>
                <w:sz w:val="1"/>
                <w:szCs w:val="1"/>
                <w:color w:val="auto"/>
              </w:rPr>
            </w:pPr>
          </w:p>
        </w:tc>
      </w:tr>
      <w:tr>
        <w:trPr>
          <w:trHeight w:val="324"/>
        </w:trPr>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Effects of changes in foreign currency exchange rates</w:t>
            </w:r>
          </w:p>
        </w:tc>
        <w:tc>
          <w:tcPr>
            <w:tcW w:w="1520" w:type="dxa"/>
            <w:vAlign w:val="bottom"/>
          </w:tcPr>
          <w:p>
            <w:pPr>
              <w:spacing w:after="0"/>
              <w:rPr>
                <w:sz w:val="24"/>
                <w:szCs w:val="24"/>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53,967</w:t>
            </w:r>
          </w:p>
        </w:tc>
        <w:tc>
          <w:tcPr>
            <w:tcW w:w="380" w:type="dxa"/>
            <w:vAlign w:val="bottom"/>
          </w:tcPr>
          <w:p>
            <w:pPr>
              <w:spacing w:after="0"/>
              <w:rPr>
                <w:sz w:val="24"/>
                <w:szCs w:val="24"/>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5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53,967</w:t>
            </w:r>
          </w:p>
        </w:tc>
        <w:tc>
          <w:tcPr>
            <w:tcW w:w="0" w:type="dxa"/>
            <w:vAlign w:val="bottom"/>
          </w:tcPr>
          <w:p>
            <w:pPr>
              <w:spacing w:after="0"/>
              <w:rPr>
                <w:sz w:val="1"/>
                <w:szCs w:val="1"/>
                <w:color w:val="auto"/>
              </w:rPr>
            </w:pPr>
          </w:p>
        </w:tc>
      </w:tr>
      <w:tr>
        <w:trPr>
          <w:trHeight w:val="81"/>
        </w:trPr>
        <w:tc>
          <w:tcPr>
            <w:tcW w:w="47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7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July 31, 2017</w:t>
            </w: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1,451,844</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67,899</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1,519,743</w:t>
            </w:r>
          </w:p>
        </w:tc>
        <w:tc>
          <w:tcPr>
            <w:tcW w:w="0" w:type="dxa"/>
            <w:vAlign w:val="bottom"/>
          </w:tcPr>
          <w:p>
            <w:pPr>
              <w:spacing w:after="0"/>
              <w:rPr>
                <w:sz w:val="1"/>
                <w:szCs w:val="1"/>
                <w:color w:val="auto"/>
              </w:rPr>
            </w:pPr>
          </w:p>
        </w:tc>
      </w:tr>
      <w:tr>
        <w:trPr>
          <w:trHeight w:val="20"/>
        </w:trPr>
        <w:tc>
          <w:tcPr>
            <w:tcW w:w="47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60" w:type="dxa"/>
            <w:vAlign w:val="bottom"/>
          </w:tcPr>
          <w:p>
            <w:pPr>
              <w:spacing w:after="0"/>
              <w:rPr>
                <w:sz w:val="24"/>
                <w:szCs w:val="24"/>
                <w:color w:val="auto"/>
              </w:rPr>
            </w:pPr>
          </w:p>
        </w:tc>
        <w:tc>
          <w:tcPr>
            <w:tcW w:w="15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83</w:t>
            </w: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9" w:right="239" w:bottom="144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The composition of accounts payable and accrued liabilities follows (in thousands):</w:t>
            </w: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67"/>
        </w:trPr>
        <w:tc>
          <w:tcPr>
            <w:tcW w:w="7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1300" w:type="dxa"/>
            <w:vAlign w:val="bottom"/>
          </w:tcPr>
          <w:p>
            <w:pPr>
              <w:spacing w:after="0"/>
              <w:rPr>
                <w:sz w:val="24"/>
                <w:szCs w:val="24"/>
                <w:color w:val="auto"/>
              </w:rPr>
            </w:pPr>
          </w:p>
        </w:tc>
      </w:tr>
      <w:tr>
        <w:trPr>
          <w:trHeight w:val="27"/>
        </w:trPr>
        <w:tc>
          <w:tcPr>
            <w:tcW w:w="77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7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payables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71,558</w:t>
            </w:r>
          </w:p>
        </w:tc>
        <w:tc>
          <w:tcPr>
            <w:tcW w:w="56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72,658</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1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240,096</w:t>
            </w:r>
          </w:p>
        </w:tc>
        <w:tc>
          <w:tcPr>
            <w:tcW w:w="5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182,506</w:t>
            </w:r>
          </w:p>
        </w:tc>
      </w:tr>
      <w:tr>
        <w:trPr>
          <w:trHeight w:val="27"/>
        </w:trPr>
        <w:tc>
          <w:tcPr>
            <w:tcW w:w="7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salaries, wages and deferred compensation</w:t>
            </w: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44,869</w:t>
            </w:r>
          </w:p>
        </w:tc>
        <w:tc>
          <w:tcPr>
            <w:tcW w:w="5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43,086</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benefits</w:t>
            </w:r>
          </w:p>
        </w:tc>
        <w:tc>
          <w:tcPr>
            <w:tcW w:w="1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32,505</w:t>
            </w:r>
          </w:p>
        </w:tc>
        <w:tc>
          <w:tcPr>
            <w:tcW w:w="5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29,175</w:t>
            </w:r>
          </w:p>
        </w:tc>
      </w:tr>
      <w:tr>
        <w:trPr>
          <w:trHeight w:val="27"/>
        </w:trPr>
        <w:tc>
          <w:tcPr>
            <w:tcW w:w="7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Deposits</w:t>
            </w: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23,742</w:t>
            </w:r>
          </w:p>
        </w:tc>
        <w:tc>
          <w:tcPr>
            <w:tcW w:w="5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23,307</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accruals</w:t>
            </w:r>
          </w:p>
        </w:tc>
        <w:tc>
          <w:tcPr>
            <w:tcW w:w="1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54,899</w:t>
            </w:r>
          </w:p>
        </w:tc>
        <w:tc>
          <w:tcPr>
            <w:tcW w:w="5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46,756</w:t>
            </w:r>
          </w:p>
        </w:tc>
      </w:tr>
      <w:tr>
        <w:trPr>
          <w:trHeight w:val="27"/>
        </w:trPr>
        <w:tc>
          <w:tcPr>
            <w:tcW w:w="7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467,669</w:t>
            </w:r>
          </w:p>
        </w:tc>
        <w:tc>
          <w:tcPr>
            <w:tcW w:w="56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397,488</w:t>
            </w:r>
          </w:p>
        </w:tc>
      </w:tr>
      <w:tr>
        <w:trPr>
          <w:trHeight w:val="20"/>
        </w:trPr>
        <w:tc>
          <w:tcPr>
            <w:tcW w:w="77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35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The composition of other long-term liabilities follows (in thousands):</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1420" w:type="dxa"/>
            <w:vAlign w:val="bottom"/>
          </w:tcPr>
          <w:p>
            <w:pPr>
              <w:spacing w:after="0"/>
              <w:rPr>
                <w:sz w:val="20"/>
                <w:szCs w:val="20"/>
                <w:color w:val="auto"/>
              </w:rPr>
            </w:pPr>
          </w:p>
        </w:tc>
      </w:tr>
      <w:tr>
        <w:trPr>
          <w:trHeight w:val="27"/>
        </w:trPr>
        <w:tc>
          <w:tcPr>
            <w:tcW w:w="16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2016</w:t>
            </w:r>
          </w:p>
        </w:tc>
      </w:tr>
      <w:tr>
        <w:trPr>
          <w:trHeight w:val="27"/>
        </w:trPr>
        <w:tc>
          <w:tcPr>
            <w:tcW w:w="77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Private club deferred initiation fee revenue</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118,417</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121,750</w:t>
            </w:r>
          </w:p>
        </w:tc>
      </w:tr>
      <w:tr>
        <w:trPr>
          <w:trHeight w:val="243"/>
        </w:trPr>
        <w:tc>
          <w:tcPr>
            <w:tcW w:w="7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Unfavorable lease obligation, net</w:t>
            </w:r>
          </w:p>
        </w:tc>
        <w:tc>
          <w:tcPr>
            <w:tcW w:w="1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24,664</w:t>
            </w:r>
          </w:p>
        </w:tc>
        <w:tc>
          <w:tcPr>
            <w:tcW w:w="4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27,322</w:t>
            </w:r>
          </w:p>
        </w:tc>
      </w:tr>
      <w:tr>
        <w:trPr>
          <w:trHeight w:val="27"/>
        </w:trPr>
        <w:tc>
          <w:tcPr>
            <w:tcW w:w="778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5"/>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158,655</w:t>
            </w: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121,096</w:t>
            </w:r>
          </w:p>
        </w:tc>
      </w:tr>
      <w:tr>
        <w:trPr>
          <w:trHeight w:val="237"/>
        </w:trPr>
        <w:tc>
          <w:tcPr>
            <w:tcW w:w="160" w:type="dxa"/>
            <w:vAlign w:val="bottom"/>
            <w:tcBorders>
              <w:top w:val="single" w:sz="8" w:color="auto"/>
            </w:tcBorders>
          </w:tcPr>
          <w:p>
            <w:pPr>
              <w:spacing w:after="0"/>
              <w:rPr>
                <w:sz w:val="20"/>
                <w:szCs w:val="20"/>
                <w:color w:val="auto"/>
              </w:rPr>
            </w:pPr>
          </w:p>
        </w:tc>
        <w:tc>
          <w:tcPr>
            <w:tcW w:w="7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1100" w:type="dxa"/>
            <w:vAlign w:val="bottom"/>
            <w:tcBorders>
              <w:top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301,736</w:t>
            </w:r>
          </w:p>
        </w:tc>
        <w:tc>
          <w:tcPr>
            <w:tcW w:w="4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270,168</w:t>
            </w:r>
          </w:p>
        </w:tc>
      </w:tr>
      <w:tr>
        <w:trPr>
          <w:trHeight w:val="27"/>
        </w:trPr>
        <w:tc>
          <w:tcPr>
            <w:tcW w:w="160" w:type="dxa"/>
            <w:vAlign w:val="bottom"/>
            <w:tcBorders>
              <w:bottom w:val="single" w:sz="8" w:color="auto"/>
            </w:tcBorders>
          </w:tcPr>
          <w:p>
            <w:pPr>
              <w:spacing w:after="0"/>
              <w:rPr>
                <w:sz w:val="2"/>
                <w:szCs w:val="2"/>
                <w:color w:val="auto"/>
              </w:rPr>
            </w:pPr>
          </w:p>
        </w:tc>
        <w:tc>
          <w:tcPr>
            <w:tcW w:w="7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548"/>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76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Investments in Affiliates</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78"/>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 held the following investments in equity method affiliates as of July 31, 2017:</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545"/>
        </w:trPr>
        <w:tc>
          <w:tcPr>
            <w:tcW w:w="16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238"/>
        </w:trPr>
        <w:tc>
          <w:tcPr>
            <w:tcW w:w="77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Equity Method Affiliates</w:t>
            </w: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Interest</w:t>
            </w:r>
          </w:p>
        </w:tc>
      </w:tr>
      <w:tr>
        <w:trPr>
          <w:trHeight w:val="27"/>
        </w:trPr>
        <w:tc>
          <w:tcPr>
            <w:tcW w:w="77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Slifer, Smith, and Frampton/Vail Associates Real Estate, LLC (“SSF/VARE”)</w:t>
            </w: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7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KRED</w:t>
            </w:r>
          </w:p>
        </w:tc>
        <w:tc>
          <w:tcPr>
            <w:tcW w:w="1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778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7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Clinton Ditch and Reservoir Company</w:t>
            </w:r>
          </w:p>
        </w:tc>
        <w:tc>
          <w:tcPr>
            <w:tcW w:w="1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160" w:type="dxa"/>
            <w:vAlign w:val="bottom"/>
            <w:shd w:val="clear" w:color="auto" w:fill="CCEEFF"/>
          </w:tcPr>
          <w:p>
            <w:pPr>
              <w:spacing w:after="0"/>
              <w:rPr>
                <w:sz w:val="2"/>
                <w:szCs w:val="2"/>
                <w:color w:val="auto"/>
              </w:rPr>
            </w:pPr>
          </w:p>
        </w:tc>
        <w:tc>
          <w:tcPr>
            <w:tcW w:w="76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had total net investments in equity method affiliates of $7.6 million and $7.5 million as of July 31, 2017 and 2016, respectively, classified as “deferred charges and other assets” in the accompanying Consolidated Balance Sheets. The amount of retained earnings that represent undistributed earnings of 50-percent-or-less-owned entities accounted for by the equity method was $4.3 million and $4.2 million as of July 31, 2017 and 2016, respectively. During the years ended July 31, 2017, 2016 and 2015, distributions in the amounts of $1.9 million, $1.3 million and $1.0 million, respectively, were received from equity method affiliates.</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SSF/VARE is a real estate brokerage with multiple locations in Eagle and Summit Counties, Colorado in which the Company has a 50% ownership interest. SSF/VARE leases space for real estate offices from the Company. The Company recognized approximately $0.4 million, $0.4 million and $0.5 million in revenue related to these leases, respectively, for the years ended July 31, 2017, 2016 and 2015.</w:t>
      </w:r>
    </w:p>
    <w:p>
      <w:pPr>
        <w:spacing w:after="0" w:line="172"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FASB issued fair value guidance that establishes how reporting entities should measure fair value for measurement and disclosure purposes. The guidance establishes a common definition of fair value applicable to all assets and liabilities measured at fair value and prioritizes the inputs into valuation techniques used to measure fair value. Accordingly, the Company uses valuation techniques which maximize the use of observable inputs and minimize the use of unobservable inputs when determining fair value. The three levels of the hierarchy are as follows: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Inputs that reflect unadjusted quoted prices in active markets that are accessible to the Company for identical assets or liabilities;</w:t>
      </w:r>
    </w:p>
    <w:p>
      <w:pPr>
        <w:sectPr>
          <w:pgSz w:w="11900" w:h="16838" w:orient="portrait"/>
          <w:cols w:equalWidth="0" w:num="1">
            <w:col w:w="11420"/>
          </w:cols>
          <w:pgMar w:left="240" w:top="117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1175" w:right="239" w:bottom="1440" w:gutter="0" w:footer="0" w:header="0"/>
          <w:type w:val="continuous"/>
        </w:sectPr>
      </w:pPr>
    </w:p>
    <w:bookmarkStart w:id="86" w:name="page87"/>
    <w:bookmarkEnd w:id="86"/>
    <w:p>
      <w:pPr>
        <w:jc w:val="both"/>
        <w:spacing w:after="0" w:line="282" w:lineRule="auto"/>
        <w:rPr>
          <w:sz w:val="20"/>
          <w:szCs w:val="20"/>
          <w:color w:val="auto"/>
        </w:rPr>
      </w:pPr>
      <w:r>
        <w:rPr>
          <w:rFonts w:ascii="Times New Roman" w:cs="Times New Roman" w:eastAsia="Times New Roman" w:hAnsi="Times New Roman"/>
          <w:sz w:val="18"/>
          <w:szCs w:val="18"/>
          <w:color w:val="auto"/>
        </w:rPr>
        <w:t>Level 2: Inputs include quoted prices for similar assets and liabilities in active and inactive markets or that are observable for the asset or liability either directly or indirectly; and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inputs which are supported by little or no market activity.</w:t>
      </w:r>
    </w:p>
    <w:p>
      <w:pPr>
        <w:spacing w:after="0" w:line="17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Company’s cash equivalents, Contingent Consideration and interest rate swap measured at estimated fair value (all other assets and liabilities measured at fair value are immaterial)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760" w:type="dxa"/>
            <w:vAlign w:val="bottom"/>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Estimated Fair Value Measurement as of July 31, 2017</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i w:val="1"/>
                <w:iCs w:val="1"/>
                <w:color w:val="auto"/>
              </w:rPr>
              <w:t>Description</w:t>
            </w: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vMerge w:val="continue"/>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500" w:type="dxa"/>
            <w:vAlign w:val="bottom"/>
          </w:tcPr>
          <w:p>
            <w:pPr>
              <w:spacing w:after="0"/>
              <w:rPr>
                <w:sz w:val="20"/>
                <w:szCs w:val="20"/>
                <w:color w:val="auto"/>
              </w:rPr>
            </w:pPr>
          </w:p>
        </w:tc>
        <w:tc>
          <w:tcPr>
            <w:tcW w:w="13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2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Money Market</w:t>
            </w:r>
          </w:p>
        </w:tc>
        <w:tc>
          <w:tcPr>
            <w:tcW w:w="1180" w:type="dxa"/>
            <w:vAlign w:val="bottom"/>
            <w:tcBorders>
              <w:top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1300" w:type="dxa"/>
            <w:vAlign w:val="bottom"/>
            <w:tcBorders>
              <w:top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4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Commercial Paper</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3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Certificates of Deposit</w:t>
            </w:r>
          </w:p>
        </w:tc>
        <w:tc>
          <w:tcPr>
            <w:tcW w:w="11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3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Rate Swap</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3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27,400</w:t>
            </w:r>
          </w:p>
        </w:tc>
        <w:tc>
          <w:tcPr>
            <w:tcW w:w="13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27,400</w:t>
            </w:r>
          </w:p>
        </w:tc>
        <w:tc>
          <w:tcPr>
            <w:tcW w:w="0" w:type="dxa"/>
            <w:vAlign w:val="bottom"/>
          </w:tcPr>
          <w:p>
            <w:pPr>
              <w:spacing w:after="0"/>
              <w:rPr>
                <w:sz w:val="1"/>
                <w:szCs w:val="1"/>
                <w:color w:val="auto"/>
              </w:rPr>
            </w:pPr>
          </w:p>
        </w:tc>
      </w:tr>
      <w:tr>
        <w:trPr>
          <w:trHeight w:val="20"/>
        </w:trPr>
        <w:tc>
          <w:tcPr>
            <w:tcW w:w="4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760" w:type="dxa"/>
            <w:vAlign w:val="bottom"/>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Estimated Fair Value Measurement as of July 31, 2016</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i w:val="1"/>
                <w:iCs w:val="1"/>
                <w:color w:val="auto"/>
              </w:rPr>
              <w:t>Description</w:t>
            </w: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vMerge w:val="continue"/>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tcPr>
          <w:p>
            <w:pPr>
              <w:spacing w:after="0"/>
              <w:rPr>
                <w:sz w:val="20"/>
                <w:szCs w:val="20"/>
                <w:color w:val="auto"/>
              </w:rPr>
            </w:pP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500" w:type="dxa"/>
            <w:vAlign w:val="bottom"/>
          </w:tcPr>
          <w:p>
            <w:pPr>
              <w:spacing w:after="0"/>
              <w:rPr>
                <w:sz w:val="20"/>
                <w:szCs w:val="20"/>
                <w:color w:val="auto"/>
              </w:rPr>
            </w:pPr>
          </w:p>
        </w:tc>
        <w:tc>
          <w:tcPr>
            <w:tcW w:w="13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2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Commercial Paper</w:t>
            </w:r>
          </w:p>
        </w:tc>
        <w:tc>
          <w:tcPr>
            <w:tcW w:w="1180" w:type="dxa"/>
            <w:vAlign w:val="bottom"/>
            <w:tcBorders>
              <w:top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420" w:type="dxa"/>
            <w:vAlign w:val="bottom"/>
            <w:tcBorders>
              <w:top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5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Certificates of Deposit</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420" w:type="dxa"/>
            <w:vAlign w:val="bottom"/>
            <w:tcBorders>
              <w:bottom w:val="single" w:sz="8" w:color="CCEEFF"/>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w:t>
            </w:r>
          </w:p>
        </w:tc>
        <w:tc>
          <w:tcPr>
            <w:tcW w:w="1420" w:type="dxa"/>
            <w:vAlign w:val="bottom"/>
            <w:tcBorders>
              <w:bottom w:val="single" w:sz="8" w:color="CCEEFF"/>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11,100</w:t>
            </w:r>
          </w:p>
        </w:tc>
        <w:tc>
          <w:tcPr>
            <w:tcW w:w="0" w:type="dxa"/>
            <w:vAlign w:val="bottom"/>
          </w:tcPr>
          <w:p>
            <w:pPr>
              <w:spacing w:after="0"/>
              <w:rPr>
                <w:sz w:val="1"/>
                <w:szCs w:val="1"/>
                <w:color w:val="auto"/>
              </w:rPr>
            </w:pPr>
          </w:p>
        </w:tc>
      </w:tr>
      <w:tr>
        <w:trPr>
          <w:trHeight w:val="20"/>
        </w:trPr>
        <w:tc>
          <w:tcPr>
            <w:tcW w:w="4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cash equivalents and interest rate swap are measured utilizing quoted market prices or pricing models whereby all significant inputs are either observable or corroborated by observable market data. The interest rate swap is an instrument assumed in the Whistler Blackcomb acquisition that expires in September 2020, and as of July 31, 2017 is a C$125.0 million ($100.3 million) fixed swap on the floating interest rate on the Whistler Credit Agreement. Interest rate swap settlements and changes in estimated fair value are recognized in interest expense, net on the Consolidated Statement of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change in Contingent Consideration during the years ended July 31, 2017 and 2016 were as follows (in thousands):</w:t>
      </w:r>
    </w:p>
    <w:p>
      <w:pPr>
        <w:spacing w:after="0" w:line="325" w:lineRule="exact"/>
        <w:rPr>
          <w:sz w:val="20"/>
          <w:szCs w:val="20"/>
          <w:color w:val="auto"/>
        </w:rPr>
      </w:pPr>
    </w:p>
    <w:tbl>
      <w:tblPr>
        <w:tblLayout w:type="fixed"/>
        <w:tblInd w:w="2600" w:type="dxa"/>
        <w:tblCellMar>
          <w:top w:w="0" w:type="dxa"/>
          <w:left w:w="0" w:type="dxa"/>
          <w:bottom w:w="0" w:type="dxa"/>
          <w:right w:w="0" w:type="dxa"/>
        </w:tblCellMar>
      </w:tblPr>
      <w:tr>
        <w:trPr>
          <w:trHeight w:val="270"/>
        </w:trPr>
        <w:tc>
          <w:tcPr>
            <w:tcW w:w="3100" w:type="dxa"/>
            <w:vAlign w:val="bottom"/>
            <w:shd w:val="clear" w:color="auto" w:fill="CCEEFF"/>
          </w:tcPr>
          <w:p>
            <w:pPr>
              <w:jc w:val="center"/>
              <w:ind w:right="1190"/>
              <w:spacing w:after="0"/>
              <w:rPr>
                <w:sz w:val="20"/>
                <w:szCs w:val="20"/>
                <w:color w:val="auto"/>
              </w:rPr>
            </w:pPr>
            <w:r>
              <w:rPr>
                <w:rFonts w:ascii="Times New Roman" w:cs="Times New Roman" w:eastAsia="Times New Roman" w:hAnsi="Times New Roman"/>
                <w:sz w:val="18"/>
                <w:szCs w:val="18"/>
                <w:color w:val="auto"/>
              </w:rPr>
              <w:t>Balance at July 31, 2015</w:t>
            </w:r>
          </w:p>
        </w:tc>
        <w:tc>
          <w:tcPr>
            <w:tcW w:w="20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r>
      <w:tr>
        <w:trPr>
          <w:trHeight w:val="243"/>
        </w:trPr>
        <w:tc>
          <w:tcPr>
            <w:tcW w:w="310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9"/>
              </w:rPr>
              <w:t>Change in fair value</w:t>
            </w:r>
          </w:p>
        </w:tc>
        <w:tc>
          <w:tcPr>
            <w:tcW w:w="20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r>
      <w:tr>
        <w:trPr>
          <w:trHeight w:val="27"/>
        </w:trPr>
        <w:tc>
          <w:tcPr>
            <w:tcW w:w="31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jc w:val="center"/>
              <w:ind w:right="1190"/>
              <w:spacing w:after="0"/>
              <w:rPr>
                <w:sz w:val="20"/>
                <w:szCs w:val="20"/>
                <w:color w:val="auto"/>
              </w:rPr>
            </w:pPr>
            <w:r>
              <w:rPr>
                <w:rFonts w:ascii="Times New Roman" w:cs="Times New Roman" w:eastAsia="Times New Roman" w:hAnsi="Times New Roman"/>
                <w:sz w:val="18"/>
                <w:szCs w:val="18"/>
                <w:color w:val="auto"/>
              </w:rPr>
              <w:t>Balance at July 31, 2016</w:t>
            </w:r>
          </w:p>
        </w:tc>
        <w:tc>
          <w:tcPr>
            <w:tcW w:w="20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w:t>
            </w:r>
          </w:p>
        </w:tc>
      </w:tr>
      <w:tr>
        <w:trPr>
          <w:trHeight w:val="243"/>
        </w:trPr>
        <w:tc>
          <w:tcPr>
            <w:tcW w:w="310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9"/>
              </w:rPr>
              <w:t>Change in fair value</w:t>
            </w:r>
          </w:p>
        </w:tc>
        <w:tc>
          <w:tcPr>
            <w:tcW w:w="20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16,300</w:t>
            </w:r>
          </w:p>
        </w:tc>
      </w:tr>
      <w:tr>
        <w:trPr>
          <w:trHeight w:val="27"/>
        </w:trPr>
        <w:tc>
          <w:tcPr>
            <w:tcW w:w="31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3100" w:type="dxa"/>
            <w:vAlign w:val="bottom"/>
            <w:tcBorders>
              <w:bottom w:val="single" w:sz="8" w:color="CCEEFF"/>
            </w:tcBorders>
            <w:shd w:val="clear" w:color="auto" w:fill="CCEEFF"/>
          </w:tcPr>
          <w:p>
            <w:pPr>
              <w:jc w:val="center"/>
              <w:ind w:right="1190"/>
              <w:spacing w:after="0"/>
              <w:rPr>
                <w:sz w:val="20"/>
                <w:szCs w:val="20"/>
                <w:color w:val="auto"/>
              </w:rPr>
            </w:pPr>
            <w:r>
              <w:rPr>
                <w:rFonts w:ascii="Times New Roman" w:cs="Times New Roman" w:eastAsia="Times New Roman" w:hAnsi="Times New Roman"/>
                <w:sz w:val="18"/>
                <w:szCs w:val="18"/>
                <w:color w:val="auto"/>
              </w:rPr>
              <w:t>Balance at July 31, 2017</w:t>
            </w:r>
          </w:p>
        </w:tc>
        <w:tc>
          <w:tcPr>
            <w:tcW w:w="2000" w:type="dxa"/>
            <w:vAlign w:val="bottom"/>
            <w:tcBorders>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27,400</w:t>
            </w:r>
          </w:p>
        </w:tc>
      </w:tr>
      <w:tr>
        <w:trPr>
          <w:trHeight w:val="20"/>
        </w:trPr>
        <w:tc>
          <w:tcPr>
            <w:tcW w:w="310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lease for Park City provides for participating contingent payments (the “Contingent Consideration”) to the landlord of 42% of the amount by which EBITDA for the Park City resort operations, as calculated under the lease, exceeds approximately $35 million, as established at the transaction date, with such threshold amount subsequently increased annually by an inflation linked index and a 10% adjustment for any capital improvements or investments made under the lease by the Company. The estimated fair value of Contingent Consideration includes the future period resort operations of Park City in the calculation of EBITDA on which participating contingent payments are made, which is determined on the basis of estimated subsequent year performance, escalated by an assumed growth factor. The Company estimated the fair value of the Contingent Consideration payments using an option pricing valuation model. Key assumptions included a discount rate of 10.2%, volatility of 16.0% and future period Park City EBITDA and capital expenditures, which are unobservable inputs and thus are considered Level 3 inputs. The Company prepared a sensitivity analysis to evaluate the effect that changes on certain key assumptions would have on the estimated fair value of the Contingent Consideration. A change in the discount rate of 100 basis points or a 5% change in estimated subsequent year performance would result in a change in the estimated fair value within the range of approximately $4.5 million to $6.5 million.</w:t>
      </w:r>
    </w:p>
    <w:p>
      <w:pPr>
        <w:sectPr>
          <w:pgSz w:w="11900" w:h="16838" w:orient="portrait"/>
          <w:cols w:equalWidth="0" w:num="1">
            <w:col w:w="11420"/>
          </w:cols>
          <w:pgMar w:left="240" w:top="1175"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1175" w:right="239" w:bottom="1440" w:gutter="0" w:footer="0" w:header="0"/>
          <w:type w:val="continuous"/>
        </w:sectPr>
      </w:pPr>
    </w:p>
    <w:bookmarkStart w:id="87" w:name="page88"/>
    <w:bookmarkEnd w:id="87"/>
    <w:p>
      <w:pPr>
        <w:jc w:val="both"/>
        <w:spacing w:after="0" w:line="258" w:lineRule="auto"/>
        <w:rPr>
          <w:sz w:val="20"/>
          <w:szCs w:val="20"/>
          <w:color w:val="auto"/>
        </w:rPr>
      </w:pPr>
      <w:r>
        <w:rPr>
          <w:rFonts w:ascii="Times New Roman" w:cs="Times New Roman" w:eastAsia="Times New Roman" w:hAnsi="Times New Roman"/>
          <w:sz w:val="18"/>
          <w:szCs w:val="18"/>
          <w:color w:val="auto"/>
        </w:rPr>
        <w:t>The Contingent Consideration is classified as a liability in our Consolidated Balance Sheets and is remeasured to an estimated fair value at each reporting date until the contingency is resolved. During the year ended July 31, 2017, the Company increased the estimated fair value of the Contingent Consideration by $16.3 million, resulting in an estimated fair value of the Contingent Consideration of $27.4 million as of July 31, 2017, which is presented in “accounts payable and accrued liabilities” and “other long-term liabilities” in the Consolidated Balance Sheets. The increase in the estimated fair value of Contingent Consideration is primarily attributable to a change in assumptions for future period EBITDA of Park City.</w:t>
      </w:r>
    </w:p>
    <w:p>
      <w:pPr>
        <w:spacing w:after="0" w:line="180"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and foreign components of income before provision for income taxes is as follows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Year Ended July 31,</w:t>
            </w: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6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5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251,478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231,756</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142,190</w:t>
            </w: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1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96,971</w:t>
            </w: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10,863</w:t>
            </w:r>
          </w:p>
        </w:tc>
        <w:tc>
          <w:tcPr>
            <w:tcW w:w="4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7,138</w:t>
            </w:r>
          </w:p>
        </w:tc>
      </w:tr>
      <w:tr>
        <w:trPr>
          <w:trHeight w:val="27"/>
        </w:trPr>
        <w:tc>
          <w:tcPr>
            <w:tcW w:w="5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348,449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242,619</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149,328</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income tax purposes. Significant components of the Company’s deferred tax liabilities and assets are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1300" w:type="dxa"/>
            <w:vAlign w:val="bottom"/>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7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assets</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180,480</w:t>
            </w:r>
          </w:p>
        </w:tc>
        <w:tc>
          <w:tcPr>
            <w:tcW w:w="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180,267</w:t>
            </w:r>
          </w:p>
        </w:tc>
      </w:tr>
      <w:tr>
        <w:trPr>
          <w:trHeight w:val="27"/>
        </w:trPr>
        <w:tc>
          <w:tcPr>
            <w:tcW w:w="7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65,614</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59,009</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31,191</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7,933</w:t>
            </w:r>
          </w:p>
        </w:tc>
      </w:tr>
      <w:tr>
        <w:trPr>
          <w:trHeight w:val="27"/>
        </w:trPr>
        <w:tc>
          <w:tcPr>
            <w:tcW w:w="7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277,285</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247,209</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Canyons obligation</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19,276</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18,984</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17,862</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17,287</w:t>
            </w:r>
          </w:p>
        </w:tc>
      </w:tr>
      <w:tr>
        <w:trPr>
          <w:trHeight w:val="27"/>
        </w:trPr>
        <w:tc>
          <w:tcPr>
            <w:tcW w:w="7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17,511</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8,108</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compensation and other accrued benefits</w:t>
            </w:r>
          </w:p>
        </w:tc>
        <w:tc>
          <w:tcPr>
            <w:tcW w:w="11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15,215</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17,426</w:t>
            </w:r>
          </w:p>
        </w:tc>
      </w:tr>
      <w:tr>
        <w:trPr>
          <w:trHeight w:val="27"/>
        </w:trPr>
        <w:tc>
          <w:tcPr>
            <w:tcW w:w="7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10,472</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4,244</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Unfavorable lease obligation, net</w:t>
            </w:r>
          </w:p>
        </w:tc>
        <w:tc>
          <w:tcPr>
            <w:tcW w:w="11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9,542</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10,904</w:t>
            </w:r>
          </w:p>
        </w:tc>
      </w:tr>
      <w:tr>
        <w:trPr>
          <w:trHeight w:val="27"/>
        </w:trPr>
        <w:tc>
          <w:tcPr>
            <w:tcW w:w="7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operating loss carryforwards and other tax credits</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12,783</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8,268</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11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19,468</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35,635</w:t>
            </w:r>
          </w:p>
        </w:tc>
      </w:tr>
      <w:tr>
        <w:trPr>
          <w:trHeight w:val="27"/>
        </w:trPr>
        <w:tc>
          <w:tcPr>
            <w:tcW w:w="7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122,129</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120,856</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Valuation allowance for deferred income taxes</w:t>
            </w:r>
          </w:p>
        </w:tc>
        <w:tc>
          <w:tcPr>
            <w:tcW w:w="1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(6,955)</w:t>
            </w:r>
          </w:p>
        </w:tc>
        <w:tc>
          <w:tcPr>
            <w:tcW w:w="5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w:t>
            </w:r>
          </w:p>
        </w:tc>
      </w:tr>
      <w:tr>
        <w:trPr>
          <w:trHeight w:val="27"/>
        </w:trPr>
        <w:tc>
          <w:tcPr>
            <w:tcW w:w="7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income tax assets, net of valuation allowance</w:t>
            </w:r>
          </w:p>
        </w:tc>
        <w:tc>
          <w:tcPr>
            <w:tcW w:w="1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115,174</w:t>
            </w:r>
          </w:p>
        </w:tc>
        <w:tc>
          <w:tcPr>
            <w:tcW w:w="5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117,215</w:t>
            </w:r>
          </w:p>
        </w:tc>
      </w:tr>
      <w:tr>
        <w:trPr>
          <w:trHeight w:val="237"/>
        </w:trPr>
        <w:tc>
          <w:tcPr>
            <w:tcW w:w="778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Net deferred income tax liability</w:t>
            </w:r>
          </w:p>
        </w:tc>
        <w:tc>
          <w:tcPr>
            <w:tcW w:w="1100" w:type="dxa"/>
            <w:vAlign w:val="bottom"/>
            <w:tcBorders>
              <w:top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162,111</w:t>
            </w:r>
          </w:p>
        </w:tc>
        <w:tc>
          <w:tcPr>
            <w:tcW w:w="5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129,994</w:t>
            </w:r>
          </w:p>
        </w:tc>
      </w:tr>
      <w:tr>
        <w:trPr>
          <w:trHeight w:val="27"/>
        </w:trPr>
        <w:tc>
          <w:tcPr>
            <w:tcW w:w="7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deferred income taxes recognized in the Consolidated Balance Sheets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164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4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68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 deferred income tax asset</w:t>
            </w:r>
          </w:p>
        </w:tc>
        <w:tc>
          <w:tcPr>
            <w:tcW w:w="1460" w:type="dxa"/>
            <w:vAlign w:val="bottom"/>
            <w:tcBorders>
              <w:bottom w:val="single" w:sz="8" w:color="CCEEFF"/>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9,331</w:t>
            </w:r>
          </w:p>
        </w:tc>
        <w:tc>
          <w:tcPr>
            <w:tcW w:w="68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non-current deferred income tax liability</w:t>
            </w:r>
          </w:p>
        </w:tc>
        <w:tc>
          <w:tcPr>
            <w:tcW w:w="1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171,442</w:t>
            </w:r>
          </w:p>
        </w:tc>
        <w:tc>
          <w:tcPr>
            <w:tcW w:w="6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129,994</w:t>
            </w:r>
          </w:p>
        </w:tc>
      </w:tr>
      <w:tr>
        <w:trPr>
          <w:trHeight w:val="27"/>
        </w:trPr>
        <w:tc>
          <w:tcPr>
            <w:tcW w:w="68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deferred income tax liability</w:t>
            </w:r>
          </w:p>
        </w:tc>
        <w:tc>
          <w:tcPr>
            <w:tcW w:w="1460" w:type="dxa"/>
            <w:vAlign w:val="bottom"/>
            <w:tcBorders>
              <w:bottom w:val="single" w:sz="8" w:color="CCEEFF"/>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162,111</w:t>
            </w:r>
          </w:p>
        </w:tc>
        <w:tc>
          <w:tcPr>
            <w:tcW w:w="68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129,994</w:t>
            </w:r>
          </w:p>
        </w:tc>
      </w:tr>
      <w:tr>
        <w:trPr>
          <w:trHeight w:val="20"/>
        </w:trPr>
        <w:tc>
          <w:tcPr>
            <w:tcW w:w="68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5"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1175" w:right="2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Significant components of the provision for income taxes are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Year Ended July 31,</w:t>
            </w: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4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5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Federal</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70,553</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12,668</w:t>
            </w:r>
          </w:p>
        </w:tc>
      </w:tr>
      <w:tr>
        <w:trPr>
          <w:trHeight w:val="27"/>
        </w:trPr>
        <w:tc>
          <w:tcPr>
            <w:tcW w:w="5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w:t>
            </w: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10,555</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5,501</w:t>
            </w: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1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16,311</w:t>
            </w:r>
          </w:p>
        </w:tc>
        <w:tc>
          <w:tcPr>
            <w:tcW w:w="1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4,431</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3,581</w:t>
            </w:r>
          </w:p>
        </w:tc>
      </w:tr>
      <w:tr>
        <w:trPr>
          <w:trHeight w:val="27"/>
        </w:trPr>
        <w:tc>
          <w:tcPr>
            <w:tcW w:w="5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current</w:t>
            </w:r>
          </w:p>
        </w:tc>
        <w:tc>
          <w:tcPr>
            <w:tcW w:w="1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80,294</w:t>
            </w:r>
          </w:p>
        </w:tc>
        <w:tc>
          <w:tcPr>
            <w:tcW w:w="1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85,539</w:t>
            </w: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21,750</w:t>
            </w:r>
          </w:p>
        </w:tc>
      </w:tr>
      <w:tr>
        <w:trPr>
          <w:trHeight w:val="237"/>
        </w:trPr>
        <w:tc>
          <w:tcPr>
            <w:tcW w:w="59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Deferred:</w:t>
            </w:r>
          </w:p>
        </w:tc>
        <w:tc>
          <w:tcPr>
            <w:tcW w:w="1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Federal</w:t>
            </w: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29,065</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7,603</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11,534</w:t>
            </w: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w:t>
            </w:r>
          </w:p>
        </w:tc>
        <w:tc>
          <w:tcPr>
            <w:tcW w:w="1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1,051</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1,623</w:t>
            </w:r>
          </w:p>
        </w:tc>
      </w:tr>
      <w:tr>
        <w:trPr>
          <w:trHeight w:val="27"/>
        </w:trPr>
        <w:tc>
          <w:tcPr>
            <w:tcW w:w="5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1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37"/>
        </w:trPr>
        <w:tc>
          <w:tcPr>
            <w:tcW w:w="59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Total deferred</w:t>
            </w:r>
          </w:p>
        </w:tc>
        <w:tc>
          <w:tcPr>
            <w:tcW w:w="1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36,437</w:t>
            </w:r>
          </w:p>
        </w:tc>
        <w:tc>
          <w:tcPr>
            <w:tcW w:w="1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7,626</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12,968</w:t>
            </w:r>
          </w:p>
        </w:tc>
      </w:tr>
      <w:tr>
        <w:trPr>
          <w:trHeight w:val="27"/>
        </w:trPr>
        <w:tc>
          <w:tcPr>
            <w:tcW w:w="5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116,731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93,165</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34,718</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the income tax provision from continuing operations and the amount computed by applying the United States federal statutory income tax rate to income before income taxes is as follows:</w:t>
      </w:r>
    </w:p>
    <w:p>
      <w:pPr>
        <w:spacing w:after="0" w:line="212"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Year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36830</wp:posOffset>
            </wp:positionV>
            <wp:extent cx="36106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ind w:left="650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40" w:type="dxa"/>
            <w:vAlign w:val="bottom"/>
          </w:tcPr>
          <w:p>
            <w:pPr>
              <w:spacing w:after="0"/>
              <w:rPr>
                <w:sz w:val="20"/>
                <w:szCs w:val="20"/>
                <w:color w:val="auto"/>
              </w:rPr>
            </w:pPr>
          </w:p>
        </w:tc>
        <w:tc>
          <w:tcPr>
            <w:tcW w:w="188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54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6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6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At U.S. federal income tax rate</w:t>
            </w:r>
          </w:p>
        </w:tc>
        <w:tc>
          <w:tcPr>
            <w:tcW w:w="10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35.0 %</w:t>
            </w:r>
          </w:p>
        </w:tc>
        <w:tc>
          <w:tcPr>
            <w:tcW w:w="18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35.0 %</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r>
      <w:tr>
        <w:trPr>
          <w:trHeight w:val="243"/>
        </w:trPr>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2.2 %</w:t>
            </w:r>
          </w:p>
        </w:tc>
        <w:tc>
          <w:tcPr>
            <w:tcW w:w="18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3.1 %</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7"/>
        </w:trPr>
        <w:tc>
          <w:tcPr>
            <w:tcW w:w="6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IRS settlement on NOL utilization</w:t>
            </w:r>
          </w:p>
        </w:tc>
        <w:tc>
          <w:tcPr>
            <w:tcW w:w="10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43"/>
        </w:trPr>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0.9 %</w:t>
            </w:r>
          </w:p>
        </w:tc>
        <w:tc>
          <w:tcPr>
            <w:tcW w:w="18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0.1 %</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7"/>
        </w:trPr>
        <w:tc>
          <w:tcPr>
            <w:tcW w:w="6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(2.1)%</w:t>
            </w:r>
          </w:p>
        </w:tc>
        <w:tc>
          <w:tcPr>
            <w:tcW w:w="18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(1.8)%</w:t>
            </w:r>
          </w:p>
        </w:tc>
        <w:tc>
          <w:tcPr>
            <w:tcW w:w="18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(0.2)%</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6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6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(0.7)%</w:t>
            </w:r>
          </w:p>
        </w:tc>
        <w:tc>
          <w:tcPr>
            <w:tcW w:w="18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0.4 %</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37"/>
        </w:trPr>
        <w:tc>
          <w:tcPr>
            <w:tcW w:w="69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Effective tax rate</w:t>
            </w:r>
          </w:p>
        </w:tc>
        <w:tc>
          <w:tcPr>
            <w:tcW w:w="10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33.5 %</w:t>
            </w:r>
          </w:p>
        </w:tc>
        <w:tc>
          <w:tcPr>
            <w:tcW w:w="188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38.4 %</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23.2 %</w:t>
            </w:r>
          </w:p>
        </w:tc>
      </w:tr>
      <w:tr>
        <w:trPr>
          <w:trHeight w:val="27"/>
        </w:trPr>
        <w:tc>
          <w:tcPr>
            <w:tcW w:w="6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69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associated with uncertain tax positions, excluding associated deferred tax benefits and accrued interest and penalties, if applicable, is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Year Ended July 31,</w:t>
            </w: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6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5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38,572</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46,973</w:t>
            </w:r>
          </w:p>
        </w:tc>
      </w:tr>
      <w:tr>
        <w:trPr>
          <w:trHeight w:val="27"/>
        </w:trPr>
        <w:tc>
          <w:tcPr>
            <w:tcW w:w="5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1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19,079</w:t>
            </w: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18,460</w:t>
            </w:r>
          </w:p>
        </w:tc>
        <w:tc>
          <w:tcPr>
            <w:tcW w:w="4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17,443</w:t>
            </w:r>
          </w:p>
        </w:tc>
      </w:tr>
      <w:tr>
        <w:trPr>
          <w:trHeight w:val="27"/>
        </w:trPr>
        <w:tc>
          <w:tcPr>
            <w:tcW w:w="5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(21,574)</w:t>
            </w:r>
          </w:p>
        </w:tc>
      </w:tr>
      <w:tr>
        <w:trPr>
          <w:trHeight w:val="243"/>
        </w:trPr>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Settlements</w:t>
            </w:r>
          </w:p>
        </w:tc>
        <w:tc>
          <w:tcPr>
            <w:tcW w:w="1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w:t>
            </w:r>
          </w:p>
        </w:tc>
      </w:tr>
      <w:tr>
        <w:trPr>
          <w:trHeight w:val="237"/>
        </w:trPr>
        <w:tc>
          <w:tcPr>
            <w:tcW w:w="59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Balance, end of year</w:t>
            </w:r>
          </w:p>
        </w:tc>
        <w:tc>
          <w:tcPr>
            <w:tcW w:w="1140" w:type="dxa"/>
            <w:vAlign w:val="bottom"/>
            <w:tcBorders>
              <w:top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76,111</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57,032</w:t>
            </w:r>
          </w:p>
        </w:tc>
        <w:tc>
          <w:tcPr>
            <w:tcW w:w="4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38,572</w:t>
            </w:r>
          </w:p>
        </w:tc>
      </w:tr>
      <w:tr>
        <w:trPr>
          <w:trHeight w:val="27"/>
        </w:trPr>
        <w:tc>
          <w:tcPr>
            <w:tcW w:w="5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59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July 31, 2017, the Company’s unrecognized tax benefits associated with uncertain tax positions relate to the treatment of the Talisker lease payments as payments of debt obligations and that the tax basis in Canyons goodwill is deductible, and are included within “other long-term liabilities” in the accompanying Consolidated Balance Sheets.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anticipate a significant change to its unrecognized tax benefits recorded as of July 31, 2017 during the year ending July 31, 2018. As of July 31, 2017 and 2016, accrued interest and penalties, net of tax, was $3.6 million and $1.6 million, respectively. For the years ended July 31, 2017, 2016 and 2015, the Company recognized as income tax expense (benefit) $2.0 million, $1.1 million and $(1.4 million) of interest expense (income) and penalties, net of tax, respectively.</w:t>
      </w:r>
    </w:p>
    <w:p>
      <w:pPr>
        <w:sectPr>
          <w:pgSz w:w="11900" w:h="16838" w:orient="portrait"/>
          <w:cols w:equalWidth="0" w:num="1">
            <w:col w:w="11420"/>
          </w:cols>
          <w:pgMar w:left="240" w:top="1012"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1012" w:right="239" w:bottom="1440" w:gutter="0" w:footer="0" w:header="0"/>
          <w:type w:val="continuous"/>
        </w:sectPr>
      </w:pPr>
    </w:p>
    <w:bookmarkStart w:id="89" w:name="page90"/>
    <w:bookmarkEnd w:id="89"/>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had federal NOL carryforwards that expired in the year ended July 31, 2008 and were limited in deductibility each year under Section 382 of the Internal Revenue Code. The Company had only been able to use these NOL carryforwards to the extent of approximately $8.0 million per year through December 31, 2007. However, during the year ended July 31, 2005, the Company amended previously filed tax returns (for tax years 1997-2002) in an effort to remove the restrictions under Section 382 of the Internal Revenue Code on approximately $73.8 million of NOL carryforwards to reduce future taxable income. As a result, the Company requested a refund related to the amended returns in the amount of $6.2 million and reduced its federal tax liability in the amount of $19.6 million in subsequent returns. These NOL carryforwards relate to fresh start accounting from the Company’s reorganization in 1992. During the year ended July 31, 2006, the Internal Revenue Service (“IRS”) completed its examination of the Company’s filing position in these amended returns and disallowed the Company’s request for refund and its position to remove the restrictions under Section 382 of the Internal Revenue Code. The Company appealed the examiner’s disallowance of these NOL carryforwards to the Office of Appeals. In December 2008, the Office of Appeals denied the Company’s appeal, as well as a request for mediation. The Company disagreed with the IRS interpretation disallowing the utilization of the NOL’s and in August 2009, the Company filed a complaint in the United States District Court for the District of Colorado against the United States of America seeking a refund of approximately $6.2 million in federal income taxes paid, plus interest. On July 1, 2011, the District Court granted the Company summary judgment, concluding that the IRS’s decision disallowing the utilization of the NOLs was inappropriate. The computations themselves, however, remained in dispute, and the District Court’s ruling was subject to appeal by the IRS. Subsequently, the District Court proceedings were continued pending settlement discussions between the parties.</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filed two related tax proceedings in the United States Tax Court regarding calculation of NOL carryover deductions for tax years 2006, 2007 and 2008. The two proceedings involved substantially the same issues as the litigation in the District Court for tax years 2000 and 2001 in which the Company disagreed with the IRS as to the utilization of NOLs. Like the District Court proceedings, the Tax Court proceedings were continued pending settlement discussions between the parties.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29, 2015, the parties completed the execution of a comprehensive settlement agreement resolving all issues and computations in the above mentioned pending proceedings, which allowed the Company to utilize a significant portion of the NOLs. As a result, the Company reversed $27.7 million of other long-term liabilities related to uncertain tax benefits, and recorded income tax benefits of $23.8 million for the utilization of the NOLs, including the reversal of accrued interest and penalties, within its Consolidated Statements of Operations for the year ended July 31, 2015.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major tax jurisdictions in which it files income tax returns is the U.S. federal jurisdiction, various state jurisdictions, Australia, and Canada. As discussed above, on January 29, 2015, all issues and computations were resolved upon the completion of a comprehensive settlement agreement with the IRS in regards to the federal NOL carryforward dispute. The Company is no longer subject to U.S. federal examinations for tax years prior to 2014. With few exceptions, the Company is no longer subject to examination by various state jurisdictions for tax years prior to 2012.</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NOL carryforwards totaling $34.5 million which are primarily comprised of state net operating loss (“NOL”) carryforwards that expire by the year ending July 31, 2031. As of July 31, 2017, the Company recorded a valuation allowance on $29.5 million of these NOL carryforwards as the Company has determined that it is more likely than not that these NOL carryforwards will not be realized. Additionally, the Company has foreign tax credit carryforwards of $9.9 million which expire by the year ending July 31, 2027. As of July 31, 2017, the Company has recorded a valuation allowance of $4.2 million on foreign tax credit carryforwards as the Company has determined that it is more likely than not that these foreign tax credit carryforwards will not be realized.</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intends to indefinitely reinvest undistributed earnings, if any, in its Canadian foreign subsidiary. As of July 31, 2017, there are no unremitted earnings in our Canadian foreign subsidiary, and therefore no additional tax due to the extent of eventual remittance.</w:t>
      </w:r>
    </w:p>
    <w:p>
      <w:pPr>
        <w:spacing w:after="0" w:line="185" w:lineRule="exact"/>
        <w:rPr>
          <w:sz w:val="20"/>
          <w:szCs w:val="20"/>
          <w:color w:val="auto"/>
        </w:rPr>
      </w:pPr>
    </w:p>
    <w:p>
      <w:pPr>
        <w:ind w:left="880" w:hanging="872"/>
        <w:spacing w:after="0"/>
        <w:tabs>
          <w:tab w:leader="none" w:pos="8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the right to appoint four of nine directors of the Beaver Creek Resort Company of Colorado (“BCRC”), a non-profit entity formed for the benefit of property owners and certain others in Beaver Creek. The Company has a management agreement with the BCRC, renewable for one-year periods, to provide management services on a fixed fee basis. Management fees and reimbursement of operating expenses paid to the Company under its agreement with the BCRC during the years ended July 31, 2017, 2016 and 2015 were $8.9 million, $8.4 million and $7.1 million, respectively.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1012" w:right="239" w:bottom="1440" w:gutter="0" w:footer="0" w:header="0"/>
        </w:sectPr>
      </w:pPr>
    </w:p>
    <w:bookmarkStart w:id="90" w:name="page91"/>
    <w:bookmarkEnd w:id="90"/>
    <w:p>
      <w:pPr>
        <w:ind w:left="660" w:hanging="652"/>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Metropolitan Districts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credit-enhances $6.3 million of bonds issued by Holland Creek Metropolitan District (“HCMD”) through an $6.4 million letter of credit issued under the Vail Holdings Credit Agreement. HCMD’s bonds were issued and used to build infrastructure associated with the Company’s Red Sky Ranch residential development. The Company has agreed to pay capital improvement fees to Red Sky Ranch Metropolitan District (“RSRMD”) until RSRMD’s revenue streams from property taxes are sufficient to meet debt service requirements under HCMD’s bonds. The Company recorded a liability of $2.0 million, primarily within “other long-term liabilities” in the accompanying Consolidated Balance Sheets, as of both July 31, 2017 and 2016 with respect to the estimated present value of future RSRMD capital improvement fees. The Company estimates that it will make capital improvement fee payments under this arrangement through the year ending July 31, 2031.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Guarantees/Indemnifications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July 31, 2017, the Company had various other letters of credit in the amount of $64.4 million, consisting primarily of $53.4 million in support of the Employee Housing Bonds and $11.0 million for workers’ compensation, general liability construction related deductibles and other activities. The Company also had surety bonds of $9.3 million as of July 31, 2017, primarily to provide collateral for its workers compensation self-insurance programs.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guarantees noted above, the Company has entered into contracts in the normal course of business that include certain indemnifications under which it could be required to make payments to third parties upon the occurrence or non-occurrence of certain future events. These indemnities include indemnities related to licensees in connection with third-parties’ use of the Company’s trademarks and logos, liabilities associated with the infringement of other parties’ technology and software products, liabilities associated with the use of easements, liabilities associated with employment of contract workers and the Company’s use of trustees, and liabilities associated with the Company’s use of public lands and environmental matters. The duration of these indemnities generally is indefinite and generally do not limit the future payments the Company could be obligated to make.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permitted under applicable law, the Company and certain of its subsidiaries have agreed to indemnify their directors and officers over their lifetimes for certain events or occurrences while the officer or director is, or was, serving the Company or its subsidiaries in such a capacity. The maximum potential amount of future payments the Company could be required to make under these indemnification agreements is unlimited; however, the Company has a director and officer insurance policy that should enable the Company to recover a portion of any future amounts paid.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otherwise noted, the Company has not recorded any significant liabilities for the letters of credit, indemnities and other guarantees noted above in the accompanying Consolidated Financial Statements, either because the Company has recorded on its Consolidated Balance Sheets the underlying liability associated with the guarantee, the guarantee is with respect to the Company’s own performance and is therefore not subject to the measurement requirements as prescribed by GAAP, or because the Company has calculated the estimated fair value of the indemnification or guarantee to be immaterial based upon the current facts and circumstances that would trigger a payment under the indemnification clause. In addition, with respect to certain indemnifications it is not possible to determine the maximum potential amount of liability under these potential obligations due to the unique set of facts and circumstances likely to be involved in each particular claim and indemnification provision. Historically, payments made by the Company under these obligations have not been material.</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noted above, the Company makes certain indemnifications to licensees for their use of the Company’s trademarks and logos. The Company does not record any liabilities with respect to these indemnifications.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1008" w:right="2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auto"/>
        </w:rPr>
        <w:t>Commitments</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operations of Northstar are conducted on land and with operating assets owned by affiliates of EPR Properties, a real-estate investment trust, primarily under operating leases which were assumed in the acquisition of Northstar by the Company. The leases provide for the payment of a minimum annual base rent with a rate of 10.25% increasing to 11.0% of assets under lease over the lease term which is recognized on a straight-line basis over the remaining lease term from the date of assumption. In addition, the leases provide for the payment of percentage rent at a rate of 11.5% of certain gross revenues generated at the property over a revenue threshold which is incrementally adjusted annually. The initial term of the leases expires in fiscal 2027 and allows for three 10-year extensions at the Company’s option. The operations of Perisher are conducted on land under a license and lease granted by the Office of Environment and Heritage, an agency of the New South Wales government, that initially commenced in 2008, which the Company assumed in its acquisition of Perisher. The lease and license has a term that expires in fiscal 2048 and allows for an option to renew for an additional 20 years. The lease and license provide for the payment of an initial minimum annual base rent of AUS $1.8 million, with annual CPI increases, and percentage rent at a rate of 2% of certain gross revenue generated at the property.</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has executed or assumed as lessee other operating leases for the rental of office and commercial space, employee residential units and land primarily through fiscal 2079. Certain of these leases have renewal terms at the Company’s option, escalation clauses, rent holidays and leasehold improvement incentives.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Rent holidays and rent escalation clauses are recognized on a straight-line basis over the lease term. Leasehold improvement incentives are recorded as leasehold improvements and amortized over the shorter of their economic lives or the term of the lease. For the years ended July 31, 2017, 2016 and 2015, the Company recorded lease expense (including Northstar and Perisher), excluding executory costs, related to these agreements of $51.9 million, $44.4 million and $39.5 million, respectively, which is included in the accompanying Consolidated Statements of Operations.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July 31, 2017, the Canyons obligation was $328.8 million, which represents the estimated annual lease payments for the remaining initial 50 year term of the lease assuming annual increases at the floor of 2% and discounted using an interest rate of 10%.</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Future minimum operating lease payments under the above leases and future minimum capital lease payments under the Canyons obligation as of July 31, 2017 reflected by fiscal year are as follows (in thousands):</w:t>
      </w:r>
    </w:p>
    <w:p>
      <w:pPr>
        <w:spacing w:after="0" w:line="293"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7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40" w:type="dxa"/>
            <w:vAlign w:val="bottom"/>
          </w:tcPr>
          <w:p>
            <w:pPr>
              <w:spacing w:after="0"/>
              <w:rPr>
                <w:sz w:val="20"/>
                <w:szCs w:val="20"/>
                <w:color w:val="auto"/>
              </w:rPr>
            </w:pPr>
          </w:p>
        </w:tc>
        <w:tc>
          <w:tcPr>
            <w:tcW w:w="15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Capital Leases</w:t>
            </w:r>
          </w:p>
        </w:tc>
        <w:tc>
          <w:tcPr>
            <w:tcW w:w="0" w:type="dxa"/>
            <w:vAlign w:val="bottom"/>
          </w:tcPr>
          <w:p>
            <w:pPr>
              <w:spacing w:after="0"/>
              <w:rPr>
                <w:sz w:val="1"/>
                <w:szCs w:val="1"/>
                <w:color w:val="auto"/>
              </w:rPr>
            </w:pPr>
          </w:p>
        </w:tc>
      </w:tr>
      <w:tr>
        <w:trPr>
          <w:trHeight w:val="27"/>
        </w:trPr>
        <w:tc>
          <w:tcPr>
            <w:tcW w:w="7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40,783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27,156</w:t>
            </w:r>
          </w:p>
        </w:tc>
        <w:tc>
          <w:tcPr>
            <w:tcW w:w="0" w:type="dxa"/>
            <w:vAlign w:val="bottom"/>
          </w:tcPr>
          <w:p>
            <w:pPr>
              <w:spacing w:after="0"/>
              <w:rPr>
                <w:sz w:val="1"/>
                <w:szCs w:val="1"/>
                <w:color w:val="auto"/>
              </w:rPr>
            </w:pP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35,338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27,699</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28,253</w:t>
            </w:r>
          </w:p>
        </w:tc>
        <w:tc>
          <w:tcPr>
            <w:tcW w:w="0" w:type="dxa"/>
            <w:vAlign w:val="bottom"/>
          </w:tcPr>
          <w:p>
            <w:pPr>
              <w:spacing w:after="0"/>
              <w:rPr>
                <w:sz w:val="1"/>
                <w:szCs w:val="1"/>
                <w:color w:val="auto"/>
              </w:rPr>
            </w:pP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28,818</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29,394</w:t>
            </w:r>
          </w:p>
        </w:tc>
        <w:tc>
          <w:tcPr>
            <w:tcW w:w="0" w:type="dxa"/>
            <w:vAlign w:val="bottom"/>
          </w:tcPr>
          <w:p>
            <w:pPr>
              <w:spacing w:after="0"/>
              <w:rPr>
                <w:sz w:val="1"/>
                <w:szCs w:val="1"/>
                <w:color w:val="auto"/>
              </w:rPr>
            </w:pP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149,285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1,865,612</w:t>
            </w:r>
          </w:p>
        </w:tc>
        <w:tc>
          <w:tcPr>
            <w:tcW w:w="0" w:type="dxa"/>
            <w:vAlign w:val="bottom"/>
          </w:tcPr>
          <w:p>
            <w:pPr>
              <w:spacing w:after="0"/>
              <w:rPr>
                <w:sz w:val="1"/>
                <w:szCs w:val="1"/>
                <w:color w:val="auto"/>
              </w:rPr>
            </w:pPr>
          </w:p>
        </w:tc>
      </w:tr>
      <w:tr>
        <w:trPr>
          <w:trHeight w:val="27"/>
        </w:trPr>
        <w:tc>
          <w:tcPr>
            <w:tcW w:w="7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312,845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2,006,932</w:t>
            </w:r>
          </w:p>
        </w:tc>
        <w:tc>
          <w:tcPr>
            <w:tcW w:w="0" w:type="dxa"/>
            <w:vAlign w:val="bottom"/>
          </w:tcPr>
          <w:p>
            <w:pPr>
              <w:spacing w:after="0"/>
              <w:rPr>
                <w:sz w:val="1"/>
                <w:szCs w:val="1"/>
                <w:color w:val="auto"/>
              </w:rPr>
            </w:pPr>
          </w:p>
        </w:tc>
      </w:tr>
      <w:tr>
        <w:trPr>
          <w:trHeight w:val="20"/>
        </w:trPr>
        <w:tc>
          <w:tcPr>
            <w:tcW w:w="75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(1,678,146)</w:t>
            </w:r>
          </w:p>
        </w:tc>
        <w:tc>
          <w:tcPr>
            <w:tcW w:w="0" w:type="dxa"/>
            <w:vAlign w:val="bottom"/>
          </w:tcPr>
          <w:p>
            <w:pPr>
              <w:spacing w:after="0" w:line="20" w:lineRule="exact"/>
              <w:rPr>
                <w:sz w:val="1"/>
                <w:szCs w:val="1"/>
                <w:color w:val="auto"/>
              </w:rPr>
            </w:pPr>
          </w:p>
        </w:tc>
      </w:tr>
      <w:tr>
        <w:trPr>
          <w:trHeight w:val="230"/>
        </w:trPr>
        <w:tc>
          <w:tcPr>
            <w:tcW w:w="75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future minimum lease payments</w:t>
            </w: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328,786</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Self Insurance</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 the U.S. is self-insured for claims under its health benefit plans and for the majority of workers’ compensation claims. Workers compensation claims are subject to stop loss policies. The self-insurance liability related to workers’ compensation is determined actuarially based on claims filed. The self-insurance liability related to claims under the Company’s health benefit plans is determined based on analysis of actual claims. The amounts related to these claims are included as a component of accrued benefits in accounts payable and accrued liabilities (see Note 6, Supplementary Balance Sheet Information).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Legal</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 party to various lawsuits arising in the ordinary course of business. Management believes the Company has adequate insurance coverage and/or has accrued for loss contingencies for all known matters that are deemed to be probable losses and estimable. As of July 31, 2017 and 2016, the accrual for loss contingencies was not material individually or in the aggregate.</w:t>
      </w:r>
    </w:p>
    <w:p>
      <w:pPr>
        <w:sectPr>
          <w:pgSz w:w="11900" w:h="16838" w:orient="portrait"/>
          <w:cols w:equalWidth="0" w:num="1">
            <w:col w:w="11420"/>
          </w:cols>
          <w:pgMar w:left="240" w:top="1175"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1175" w:right="239" w:bottom="1440" w:gutter="0" w:footer="0" w:header="0"/>
          <w:type w:val="continuous"/>
        </w:sectPr>
      </w:pPr>
    </w:p>
    <w:bookmarkStart w:id="92" w:name="page93"/>
    <w:bookmarkEnd w:id="92"/>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and Geographic Area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Segment Information</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three reportable segments: Mountain, Lodging and Real Estate. Resort is the combination of the Mountain and Lodging segments. The Mountain segment includes the operations of the Company’s mountain resorts/ski areas and related ancillary activities. The Lodging segment includes the operations of the Company’s owned hotels, RockResorts, NPS concessionaire properties, condominium management, CME and mountain resort golf operations. The Real Estate segment owns, develops and sells real estate in and around the Company’s resort communities. The Company’s reportable segments, although integral to the success of the others, offer distinctly different products and services and require different types of management focus. As such, these segments are managed separately.</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reports its segment results using Reported EBITDA (defined as segment net revenue less segment operating expenses, plus or minus segment equity investment income or loss, plus gain on litigation settlement and for the Real Estate segment, plus gain on sale of real property). The Company reports segment results in a manner consistent with management’s internal reporting of operating results to the chief operating decision maker (Chief Executive Officer) for purposes of evaluating segment performance.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Items excluded from Reported EBITDA are significant components in understanding and assessing financial performance. Reported EBITDA should not be considered in isolation or as an alternative to, or substitute for, net income, net change in cash and cash equivalents or other financial statement data presented in the consolidated financial statements as indicators of financial performance or liquidity.</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utilizes Reported EBITDA in evaluating performance of the Company and in allocating resources to its segments. Mountain Reported EBITDA consists of Mountain net revenue less Mountain operating expense plus or minus Mountain equity investment income or loss plus gain on litigation settlement. Lodging Reported EBITDA consists of Lodging net revenue less Lodging operating expense. Real Estate Reported EBITDA consists of Real Estate net revenue less Real Estate operating expense plus gain on sale of real property. All segment expenses include an allocation of corporate administrative expense. Assets are not allocated between segments, or used to evaluate performance, except as shown in the table below. The accounting policies specific to each segment are the same as those described in Note 2, Summary of Significant Accounting Policies.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1009" w:right="239" w:bottom="1440" w:gutter="0" w:footer="0" w:header="0"/>
        </w:sectPr>
      </w:pPr>
    </w:p>
    <w:bookmarkStart w:id="93" w:name="page94"/>
    <w:bookmarkEnd w:id="93"/>
    <w:p>
      <w:pPr>
        <w:spacing w:after="0" w:line="282" w:lineRule="auto"/>
        <w:rPr>
          <w:sz w:val="20"/>
          <w:szCs w:val="20"/>
          <w:color w:val="auto"/>
        </w:rPr>
      </w:pPr>
      <w:r>
        <w:rPr>
          <w:rFonts w:ascii="Times New Roman" w:cs="Times New Roman" w:eastAsia="Times New Roman" w:hAnsi="Times New Roman"/>
          <w:sz w:val="18"/>
          <w:szCs w:val="18"/>
          <w:color w:val="auto"/>
        </w:rPr>
        <w:t>Following is key financial information by reportable segment which is used by management in evaluating performance and allocating resources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Year Ended July 31,</w:t>
            </w: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20"/>
                <w:szCs w:val="20"/>
                <w:color w:val="auto"/>
              </w:rPr>
            </w:pPr>
          </w:p>
        </w:tc>
        <w:tc>
          <w:tcPr>
            <w:tcW w:w="16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4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Lift tickets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818,341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658,047</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536,458</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Ski school</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177,748</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143,249</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126,206</w:t>
            </w:r>
          </w:p>
        </w:tc>
      </w:tr>
      <w:tr>
        <w:trPr>
          <w:trHeight w:val="243"/>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Dining</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150,587</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121,008</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101,010</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Retail/rental</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293,428</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241,134</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219,153</w:t>
            </w:r>
          </w:p>
        </w:tc>
      </w:tr>
      <w:tr>
        <w:trPr>
          <w:trHeight w:val="243"/>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171,682</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141,166</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121,202</w:t>
            </w: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Mountain net revenue</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1,611,786</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1,304,604</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1,104,029</w:t>
            </w:r>
          </w:p>
        </w:tc>
      </w:tr>
      <w:tr>
        <w:trPr>
          <w:trHeight w:val="243"/>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Lodging</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278,514</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274,554</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254,553</w:t>
            </w: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Resort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1,890,300</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1,579,158</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1,358,582</w:t>
            </w:r>
          </w:p>
        </w:tc>
      </w:tr>
      <w:tr>
        <w:trPr>
          <w:trHeight w:val="243"/>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16,918</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22,128</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41,342</w:t>
            </w: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revenue</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1,907,218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1,601,286</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1,399,924</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operating expense:</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Mountain</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1,047,331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881,472</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777,147</w:t>
            </w:r>
          </w:p>
        </w:tc>
      </w:tr>
      <w:tr>
        <w:trPr>
          <w:trHeight w:val="243"/>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Lodging</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251,427</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246,385</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232,877</w:t>
            </w: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Resort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1,298,758</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1,127,857</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1,010,024</w:t>
            </w:r>
          </w:p>
        </w:tc>
      </w:tr>
      <w:tr>
        <w:trPr>
          <w:trHeight w:val="243"/>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24,083</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24,639</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48,408</w:t>
            </w: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segment operating expense</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1,322,841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1,152,496</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1,058,432</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litigation settlement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16,400</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sale of real property</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6,766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5,295</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Mountain equity investment income, net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1,283</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822</w:t>
            </w:r>
          </w:p>
        </w:tc>
      </w:tr>
      <w:tr>
        <w:trPr>
          <w:trHeight w:val="34"/>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Reported EBITDA:</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Mountain</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566,338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424,415</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344,104</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Lodging</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27,087</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28,169</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21,676</w:t>
            </w:r>
          </w:p>
        </w:tc>
      </w:tr>
      <w:tr>
        <w:trPr>
          <w:trHeight w:val="237"/>
        </w:trPr>
        <w:tc>
          <w:tcPr>
            <w:tcW w:w="59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Resort</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593,425</w:t>
            </w: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452,584</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365,780</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2,784</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(6,915)</w:t>
            </w:r>
          </w:p>
        </w:tc>
      </w:tr>
      <w:tr>
        <w:trPr>
          <w:trHeight w:val="237"/>
        </w:trPr>
        <w:tc>
          <w:tcPr>
            <w:tcW w:w="59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Reported EBITDA</w:t>
            </w: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593,026</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455,368</w:t>
            </w:r>
          </w:p>
        </w:tc>
        <w:tc>
          <w:tcPr>
            <w:tcW w:w="44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358,865</w:t>
            </w:r>
          </w:p>
        </w:tc>
      </w:tr>
      <w:tr>
        <w:trPr>
          <w:trHeight w:val="67"/>
        </w:trPr>
        <w:tc>
          <w:tcPr>
            <w:tcW w:w="59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231"/>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 held for sale and investment</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103,405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111,088</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129,825</w:t>
            </w: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Reconciliation to net income attributable to Vail Resorts, Inc.:</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Reported EBITDA</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593,026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455,368</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358,865</w:t>
            </w: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(189,157)</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(161,488)</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(149,123)</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(16,300)</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3,650</w:t>
            </w: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on disposal of fixed assets and other, net</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income and other, net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6,114</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723</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w:t>
            </w: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gain on intercompany loans</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15,285</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(54,089)</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(42,366)</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(51,241)</w:t>
            </w: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(11,012)</w:t>
            </w: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348,449</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242,619</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149,328</w:t>
            </w:r>
          </w:p>
        </w:tc>
      </w:tr>
      <w:tr>
        <w:trPr>
          <w:trHeight w:val="243"/>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(116,731)</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(93,165)</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(34,718)</w:t>
            </w: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231,718</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149,454</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114,610</w:t>
            </w: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(21,165)</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210,553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149,754</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114,754</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5"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20"/>
          </w:cols>
          <w:pgMar w:left="240" w:top="1175" w:right="239" w:bottom="144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207"/>
        </w:trPr>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Geographic Information</w:t>
            </w:r>
          </w:p>
        </w:tc>
        <w:tc>
          <w:tcPr>
            <w:tcW w:w="4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7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revenue and property, plant and equipment, net by geographic region are as follows (in thousands).</w:t>
            </w: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Year Ended July 31,</w:t>
            </w: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92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16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660" w:type="dxa"/>
            <w:vAlign w:val="bottom"/>
          </w:tcPr>
          <w:p>
            <w:pPr>
              <w:spacing w:after="0"/>
              <w:rPr>
                <w:sz w:val="20"/>
                <w:szCs w:val="20"/>
                <w:color w:val="auto"/>
              </w:rPr>
            </w:pPr>
          </w:p>
        </w:tc>
        <w:tc>
          <w:tcPr>
            <w:tcW w:w="12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1,578,276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1,534,716</w:t>
            </w:r>
          </w:p>
        </w:tc>
        <w:tc>
          <w:tcPr>
            <w:tcW w:w="66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1,375,190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 (a)</w:t>
            </w:r>
          </w:p>
        </w:tc>
        <w:tc>
          <w:tcPr>
            <w:tcW w:w="4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328,942</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66,570</w:t>
            </w:r>
          </w:p>
        </w:tc>
        <w:tc>
          <w:tcPr>
            <w:tcW w:w="6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24,734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2"/>
                <w:szCs w:val="22"/>
                <w:color w:val="auto"/>
              </w:rPr>
            </w:pPr>
          </w:p>
        </w:tc>
        <w:tc>
          <w:tcPr>
            <w:tcW w:w="59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net revenue</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1,907,218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1,601,286</w:t>
            </w:r>
          </w:p>
        </w:tc>
        <w:tc>
          <w:tcPr>
            <w:tcW w:w="66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1,399,924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4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Borders>
              <w:top w:val="single" w:sz="8" w:color="auto"/>
              <w:bottom w:val="single" w:sz="8" w:color="auto"/>
            </w:tcBorders>
            <w:gridSpan w:val="2"/>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As of July 31,</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92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660" w:type="dxa"/>
            <w:vAlign w:val="bottom"/>
          </w:tcPr>
          <w:p>
            <w:pPr>
              <w:spacing w:after="0"/>
              <w:rPr>
                <w:sz w:val="20"/>
                <w:szCs w:val="20"/>
                <w:color w:val="auto"/>
              </w:rPr>
            </w:pPr>
          </w:p>
        </w:tc>
        <w:tc>
          <w:tcPr>
            <w:tcW w:w="12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1,260,220</w:t>
            </w:r>
          </w:p>
        </w:tc>
        <w:tc>
          <w:tcPr>
            <w:tcW w:w="66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1,247,838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 (a)</w:t>
            </w: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453,933</w:t>
            </w:r>
          </w:p>
        </w:tc>
        <w:tc>
          <w:tcPr>
            <w:tcW w:w="6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115,977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2"/>
                <w:szCs w:val="22"/>
                <w:color w:val="auto"/>
              </w:rPr>
            </w:pPr>
          </w:p>
        </w:tc>
        <w:tc>
          <w:tcPr>
            <w:tcW w:w="59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4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1,714,154</w:t>
            </w:r>
          </w:p>
        </w:tc>
        <w:tc>
          <w:tcPr>
            <w:tcW w:w="66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1,363,814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4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8"/>
        <w:spacing w:after="0" w:line="266" w:lineRule="auto"/>
        <w:tabs>
          <w:tab w:leader="none" w:pos="24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only individual international country (i.e. except the U.S.) to account for more than 10% of the Company’s revenue and property plant and equipment, net was Canada. Canada accounted for $257.8 million of revenue for the year ended July 31, 2017 and for $338.8 million of property, plant and equipment, net as of July 31, 2017.</w:t>
      </w:r>
    </w:p>
    <w:p>
      <w:pPr>
        <w:spacing w:after="0" w:line="199" w:lineRule="exact"/>
        <w:rPr>
          <w:sz w:val="20"/>
          <w:szCs w:val="20"/>
          <w:color w:val="auto"/>
        </w:rPr>
      </w:pPr>
    </w:p>
    <w:p>
      <w:pPr>
        <w:ind w:left="880" w:hanging="872"/>
        <w:spacing w:after="0"/>
        <w:tabs>
          <w:tab w:leader="none" w:pos="8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Selected Quarterly Financial Data (Unaudited)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4"/>
          </w:tcPr>
          <w:p>
            <w:pPr>
              <w:jc w:val="center"/>
              <w:ind w:left="732"/>
              <w:spacing w:after="0"/>
              <w:rPr>
                <w:sz w:val="20"/>
                <w:szCs w:val="20"/>
                <w:color w:val="auto"/>
              </w:rPr>
            </w:pPr>
            <w:r>
              <w:rPr>
                <w:rFonts w:ascii="Times New Roman" w:cs="Times New Roman" w:eastAsia="Times New Roman" w:hAnsi="Times New Roman"/>
                <w:sz w:val="18"/>
                <w:szCs w:val="18"/>
                <w:b w:val="1"/>
                <w:bCs w:val="1"/>
                <w:color w:val="auto"/>
                <w:w w:val="99"/>
              </w:rPr>
              <w:t>Year Ended July 31, 2017</w:t>
            </w: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3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7"/>
        </w:trPr>
        <w:tc>
          <w:tcPr>
            <w:tcW w:w="3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Fourth</w:t>
            </w:r>
          </w:p>
        </w:tc>
        <w:tc>
          <w:tcPr>
            <w:tcW w:w="280" w:type="dxa"/>
            <w:vAlign w:val="bottom"/>
          </w:tcPr>
          <w:p>
            <w:pPr>
              <w:spacing w:after="0"/>
              <w:rPr>
                <w:sz w:val="18"/>
                <w:szCs w:val="18"/>
                <w:color w:val="auto"/>
              </w:rPr>
            </w:pPr>
          </w:p>
        </w:tc>
        <w:tc>
          <w:tcPr>
            <w:tcW w:w="1160" w:type="dxa"/>
            <w:vAlign w:val="bottom"/>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w w:val="99"/>
              </w:rPr>
              <w:t>Third</w:t>
            </w:r>
          </w:p>
        </w:tc>
        <w:tc>
          <w:tcPr>
            <w:tcW w:w="380" w:type="dxa"/>
            <w:vAlign w:val="bottom"/>
          </w:tcPr>
          <w:p>
            <w:pPr>
              <w:spacing w:after="0"/>
              <w:rPr>
                <w:sz w:val="18"/>
                <w:szCs w:val="18"/>
                <w:color w:val="auto"/>
              </w:rPr>
            </w:pPr>
          </w:p>
        </w:tc>
        <w:tc>
          <w:tcPr>
            <w:tcW w:w="108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Second</w:t>
            </w:r>
          </w:p>
        </w:tc>
        <w:tc>
          <w:tcPr>
            <w:tcW w:w="340" w:type="dxa"/>
            <w:vAlign w:val="bottom"/>
          </w:tcPr>
          <w:p>
            <w:pPr>
              <w:spacing w:after="0"/>
              <w:rPr>
                <w:sz w:val="18"/>
                <w:szCs w:val="18"/>
                <w:color w:val="auto"/>
              </w:rPr>
            </w:pPr>
          </w:p>
        </w:tc>
        <w:tc>
          <w:tcPr>
            <w:tcW w:w="118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First</w:t>
            </w:r>
          </w:p>
        </w:tc>
      </w:tr>
      <w:tr>
        <w:trPr>
          <w:trHeight w:val="212"/>
        </w:trPr>
        <w:tc>
          <w:tcPr>
            <w:tcW w:w="3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 thousands, except per share amounts)</w:t>
            </w:r>
          </w:p>
        </w:tc>
        <w:tc>
          <w:tcPr>
            <w:tcW w:w="380" w:type="dxa"/>
            <w:vAlign w:val="bottom"/>
          </w:tcPr>
          <w:p>
            <w:pPr>
              <w:spacing w:after="0"/>
              <w:rPr>
                <w:sz w:val="18"/>
                <w:szCs w:val="18"/>
                <w:color w:val="auto"/>
              </w:rPr>
            </w:pPr>
          </w:p>
        </w:tc>
        <w:tc>
          <w:tcPr>
            <w:tcW w:w="112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Year</w:t>
            </w:r>
          </w:p>
        </w:tc>
        <w:tc>
          <w:tcPr>
            <w:tcW w:w="320" w:type="dxa"/>
            <w:vAlign w:val="bottom"/>
          </w:tcPr>
          <w:p>
            <w:pPr>
              <w:spacing w:after="0"/>
              <w:rPr>
                <w:sz w:val="18"/>
                <w:szCs w:val="18"/>
                <w:color w:val="auto"/>
              </w:rPr>
            </w:pPr>
          </w:p>
        </w:tc>
        <w:tc>
          <w:tcPr>
            <w:tcW w:w="120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280" w:type="dxa"/>
            <w:vAlign w:val="bottom"/>
          </w:tcPr>
          <w:p>
            <w:pPr>
              <w:spacing w:after="0"/>
              <w:rPr>
                <w:sz w:val="18"/>
                <w:szCs w:val="18"/>
                <w:color w:val="auto"/>
              </w:rPr>
            </w:pPr>
          </w:p>
        </w:tc>
        <w:tc>
          <w:tcPr>
            <w:tcW w:w="1160" w:type="dxa"/>
            <w:vAlign w:val="bottom"/>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w w:val="99"/>
              </w:rPr>
              <w:t>Quarter</w:t>
            </w:r>
          </w:p>
        </w:tc>
        <w:tc>
          <w:tcPr>
            <w:tcW w:w="380" w:type="dxa"/>
            <w:vAlign w:val="bottom"/>
          </w:tcPr>
          <w:p>
            <w:pPr>
              <w:spacing w:after="0"/>
              <w:rPr>
                <w:sz w:val="18"/>
                <w:szCs w:val="18"/>
                <w:color w:val="auto"/>
              </w:rPr>
            </w:pPr>
          </w:p>
        </w:tc>
        <w:tc>
          <w:tcPr>
            <w:tcW w:w="10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340" w:type="dxa"/>
            <w:vAlign w:val="bottom"/>
          </w:tcPr>
          <w:p>
            <w:pPr>
              <w:spacing w:after="0"/>
              <w:rPr>
                <w:sz w:val="18"/>
                <w:szCs w:val="18"/>
                <w:color w:val="auto"/>
              </w:rPr>
            </w:pPr>
          </w:p>
        </w:tc>
        <w:tc>
          <w:tcPr>
            <w:tcW w:w="11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Quarter</w:t>
            </w:r>
          </w:p>
        </w:tc>
      </w:tr>
      <w:tr>
        <w:trPr>
          <w:trHeight w:val="33"/>
        </w:trPr>
        <w:tc>
          <w:tcPr>
            <w:tcW w:w="3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revenue</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1,907,218</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209,124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794,631</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725,198</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178,265</w:t>
            </w:r>
          </w:p>
        </w:tc>
      </w:tr>
      <w:tr>
        <w:trPr>
          <w:trHeight w:val="243"/>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379,256</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(102,577)</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320,073</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252,278</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(90,518)</w:t>
            </w:r>
          </w:p>
        </w:tc>
      </w:tr>
      <w:tr>
        <w:trPr>
          <w:trHeight w:val="27"/>
        </w:trPr>
        <w:tc>
          <w:tcPr>
            <w:tcW w:w="3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231,718</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196,856</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159,728</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(63,618)</w:t>
            </w:r>
          </w:p>
        </w:tc>
      </w:tr>
      <w:tr>
        <w:trPr>
          <w:trHeight w:val="243"/>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Vail Resorts, Inc.</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210,553</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(57,146)</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181,107</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149,179</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(62,587)</w:t>
            </w:r>
          </w:p>
        </w:tc>
      </w:tr>
      <w:tr>
        <w:trPr>
          <w:trHeight w:val="27"/>
        </w:trPr>
        <w:tc>
          <w:tcPr>
            <w:tcW w:w="3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5"/>
        </w:trPr>
        <w:tc>
          <w:tcPr>
            <w:tcW w:w="3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net income (loss) per share attributable to Vail</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41"/>
        </w:trPr>
        <w:tc>
          <w:tcPr>
            <w:tcW w:w="3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Resorts, Inc.</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5"/>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Diluted net income (loss) per share attributable to Vail</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4"/>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Resorts, Inc.</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bl>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4"/>
          </w:tcPr>
          <w:p>
            <w:pPr>
              <w:jc w:val="center"/>
              <w:ind w:left="732"/>
              <w:spacing w:after="0"/>
              <w:rPr>
                <w:sz w:val="20"/>
                <w:szCs w:val="20"/>
                <w:color w:val="auto"/>
              </w:rPr>
            </w:pPr>
            <w:r>
              <w:rPr>
                <w:rFonts w:ascii="Times New Roman" w:cs="Times New Roman" w:eastAsia="Times New Roman" w:hAnsi="Times New Roman"/>
                <w:sz w:val="18"/>
                <w:szCs w:val="18"/>
                <w:b w:val="1"/>
                <w:bCs w:val="1"/>
                <w:color w:val="auto"/>
                <w:w w:val="99"/>
              </w:rPr>
              <w:t>Year Ended July 31, 2016</w:t>
            </w: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3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7"/>
        </w:trPr>
        <w:tc>
          <w:tcPr>
            <w:tcW w:w="3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Fourth</w:t>
            </w:r>
          </w:p>
        </w:tc>
        <w:tc>
          <w:tcPr>
            <w:tcW w:w="280" w:type="dxa"/>
            <w:vAlign w:val="bottom"/>
          </w:tcPr>
          <w:p>
            <w:pPr>
              <w:spacing w:after="0"/>
              <w:rPr>
                <w:sz w:val="18"/>
                <w:szCs w:val="18"/>
                <w:color w:val="auto"/>
              </w:rPr>
            </w:pPr>
          </w:p>
        </w:tc>
        <w:tc>
          <w:tcPr>
            <w:tcW w:w="1160" w:type="dxa"/>
            <w:vAlign w:val="bottom"/>
          </w:tcPr>
          <w:p>
            <w:pPr>
              <w:jc w:val="center"/>
              <w:ind w:right="192"/>
              <w:spacing w:after="0"/>
              <w:rPr>
                <w:sz w:val="20"/>
                <w:szCs w:val="20"/>
                <w:color w:val="auto"/>
              </w:rPr>
            </w:pPr>
            <w:r>
              <w:rPr>
                <w:rFonts w:ascii="Times New Roman" w:cs="Times New Roman" w:eastAsia="Times New Roman" w:hAnsi="Times New Roman"/>
                <w:sz w:val="16"/>
                <w:szCs w:val="16"/>
                <w:b w:val="1"/>
                <w:bCs w:val="1"/>
                <w:color w:val="auto"/>
                <w:w w:val="99"/>
              </w:rPr>
              <w:t>Third</w:t>
            </w:r>
          </w:p>
        </w:tc>
        <w:tc>
          <w:tcPr>
            <w:tcW w:w="380" w:type="dxa"/>
            <w:vAlign w:val="bottom"/>
          </w:tcPr>
          <w:p>
            <w:pPr>
              <w:spacing w:after="0"/>
              <w:rPr>
                <w:sz w:val="18"/>
                <w:szCs w:val="18"/>
                <w:color w:val="auto"/>
              </w:rPr>
            </w:pPr>
          </w:p>
        </w:tc>
        <w:tc>
          <w:tcPr>
            <w:tcW w:w="10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Second</w:t>
            </w:r>
          </w:p>
        </w:tc>
        <w:tc>
          <w:tcPr>
            <w:tcW w:w="340" w:type="dxa"/>
            <w:vAlign w:val="bottom"/>
          </w:tcPr>
          <w:p>
            <w:pPr>
              <w:spacing w:after="0"/>
              <w:rPr>
                <w:sz w:val="18"/>
                <w:szCs w:val="18"/>
                <w:color w:val="auto"/>
              </w:rPr>
            </w:pPr>
          </w:p>
        </w:tc>
        <w:tc>
          <w:tcPr>
            <w:tcW w:w="118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First</w:t>
            </w:r>
          </w:p>
        </w:tc>
      </w:tr>
      <w:tr>
        <w:trPr>
          <w:trHeight w:val="212"/>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(in thousands, except per share amounts)</w:t>
            </w:r>
          </w:p>
        </w:tc>
        <w:tc>
          <w:tcPr>
            <w:tcW w:w="380" w:type="dxa"/>
            <w:vAlign w:val="bottom"/>
          </w:tcPr>
          <w:p>
            <w:pPr>
              <w:spacing w:after="0"/>
              <w:rPr>
                <w:sz w:val="18"/>
                <w:szCs w:val="18"/>
                <w:color w:val="auto"/>
              </w:rPr>
            </w:pPr>
          </w:p>
        </w:tc>
        <w:tc>
          <w:tcPr>
            <w:tcW w:w="112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Year</w:t>
            </w:r>
          </w:p>
        </w:tc>
        <w:tc>
          <w:tcPr>
            <w:tcW w:w="320" w:type="dxa"/>
            <w:vAlign w:val="bottom"/>
          </w:tcPr>
          <w:p>
            <w:pPr>
              <w:spacing w:after="0"/>
              <w:rPr>
                <w:sz w:val="18"/>
                <w:szCs w:val="18"/>
                <w:color w:val="auto"/>
              </w:rPr>
            </w:pPr>
          </w:p>
        </w:tc>
        <w:tc>
          <w:tcPr>
            <w:tcW w:w="120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280" w:type="dxa"/>
            <w:vAlign w:val="bottom"/>
          </w:tcPr>
          <w:p>
            <w:pPr>
              <w:spacing w:after="0"/>
              <w:rPr>
                <w:sz w:val="18"/>
                <w:szCs w:val="18"/>
                <w:color w:val="auto"/>
              </w:rPr>
            </w:pPr>
          </w:p>
        </w:tc>
        <w:tc>
          <w:tcPr>
            <w:tcW w:w="1160" w:type="dxa"/>
            <w:vAlign w:val="bottom"/>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w w:val="99"/>
              </w:rPr>
              <w:t>Quarter</w:t>
            </w:r>
          </w:p>
        </w:tc>
        <w:tc>
          <w:tcPr>
            <w:tcW w:w="380" w:type="dxa"/>
            <w:vAlign w:val="bottom"/>
          </w:tcPr>
          <w:p>
            <w:pPr>
              <w:spacing w:after="0"/>
              <w:rPr>
                <w:sz w:val="18"/>
                <w:szCs w:val="18"/>
                <w:color w:val="auto"/>
              </w:rPr>
            </w:pPr>
          </w:p>
        </w:tc>
        <w:tc>
          <w:tcPr>
            <w:tcW w:w="10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340" w:type="dxa"/>
            <w:vAlign w:val="bottom"/>
          </w:tcPr>
          <w:p>
            <w:pPr>
              <w:spacing w:after="0"/>
              <w:rPr>
                <w:sz w:val="18"/>
                <w:szCs w:val="18"/>
                <w:color w:val="auto"/>
              </w:rPr>
            </w:pPr>
          </w:p>
        </w:tc>
        <w:tc>
          <w:tcPr>
            <w:tcW w:w="11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Quarter</w:t>
            </w:r>
          </w:p>
        </w:tc>
      </w:tr>
      <w:tr>
        <w:trPr>
          <w:trHeight w:val="33"/>
        </w:trPr>
        <w:tc>
          <w:tcPr>
            <w:tcW w:w="3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revenue</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1,601,286</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179,884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647,472</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599,363</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174,567</w:t>
            </w:r>
          </w:p>
        </w:tc>
      </w:tr>
      <w:tr>
        <w:trPr>
          <w:trHeight w:val="243"/>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282,979</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(93,776)</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263,380</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200,064</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(86,689)</w:t>
            </w:r>
          </w:p>
        </w:tc>
      </w:tr>
      <w:tr>
        <w:trPr>
          <w:trHeight w:val="27"/>
        </w:trPr>
        <w:tc>
          <w:tcPr>
            <w:tcW w:w="3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149,454</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(65,284)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157,537</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116,871</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(59,670)</w:t>
            </w:r>
          </w:p>
        </w:tc>
      </w:tr>
      <w:tr>
        <w:trPr>
          <w:trHeight w:val="243"/>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Vail Resorts, Inc.</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149,754</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(65,273)</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157,632</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116,982</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(59,587)</w:t>
            </w:r>
          </w:p>
        </w:tc>
      </w:tr>
      <w:tr>
        <w:trPr>
          <w:trHeight w:val="27"/>
        </w:trPr>
        <w:tc>
          <w:tcPr>
            <w:tcW w:w="3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5"/>
        </w:trPr>
        <w:tc>
          <w:tcPr>
            <w:tcW w:w="3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net income (loss) per share attributable to Vail</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41"/>
        </w:trPr>
        <w:tc>
          <w:tcPr>
            <w:tcW w:w="3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Resorts, Inc.</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5"/>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Diluted net income (loss) per share attributable to Vail</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4"/>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Resorts, Inc.</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bl>
    <w:p>
      <w:pPr>
        <w:spacing w:after="0" w:line="200" w:lineRule="exact"/>
        <w:rPr>
          <w:sz w:val="20"/>
          <w:szCs w:val="20"/>
          <w:color w:val="auto"/>
        </w:rPr>
      </w:pPr>
    </w:p>
    <w:p>
      <w:pPr>
        <w:sectPr>
          <w:pgSz w:w="11900" w:h="16838" w:orient="portrait"/>
          <w:cols w:equalWidth="0" w:num="1">
            <w:col w:w="11420"/>
          </w:cols>
          <w:pgMar w:left="240" w:top="1162"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1162" w:right="239" w:bottom="1440" w:gutter="0" w:footer="0" w:header="0"/>
          <w:type w:val="continuous"/>
        </w:sectPr>
      </w:pPr>
    </w:p>
    <w:bookmarkStart w:id="95" w:name="page96"/>
    <w:bookmarkEnd w:id="95"/>
    <w:p>
      <w:pPr>
        <w:ind w:left="660" w:hanging="652"/>
        <w:spacing w:after="0"/>
        <w:tabs>
          <w:tab w:leader="none" w:pos="6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Repurchase Program</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9, 2006, the Company’s Board of Directors approved a share repurchase program, authorizing the Company to repurchase up to 3,000,000 shares of common stock. On July 16, 2008, the Company’s Board of Directors increased the authorization by an additional 3,000,000 shares, and on December 4, 2015, the Company’s Board of Directors increased the authorization by an additional 1,500,000 shares for a total authorization to repurchase shares of up to 7,500,000 shares. During the year ended July 31, 2017, the Company repurchased 1,317 shares (at a total cost of $0.2 million). During the year ended July 31, 2016, the Company repurchased 485,866 shares (at a total cost of $53.8 million).The Company did not repurchase any shares of common stock during the year ended July 31, 2015. Since inception of this stock repurchase program through July 31, 2017, the Company has repurchased 5,436,294 shares at a cost of approximately $247.2 million. As of July 31, 2017, 2,063,706 shares remained available to repurchase under the existing repurchase authorization. These authorizations have no expiration date. Shares of common stock purchased pursuant to the repurchase program will be held as treasury shares and may be used for issuance under the Company’s employee share award plan.</w:t>
      </w:r>
    </w:p>
    <w:p>
      <w:pPr>
        <w:spacing w:after="0" w:line="185"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Compensation Plan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 share award plan (the “Plan”) which has been approved by the Company’s stockholders. Under the Plan, up to 4.4 million shares of common stock could be issued in the form of options, stock appreciation rights, restricted shares, restricted share units, performance shares, performance share units, dividend equivalents or other share-based awards to employees, directors or consultants of the Company or its subsidiaries or affiliates. The terms of awards granted under the Plan, including exercise price, vesting period and life, are set by the Compensation Committee of the Board of Directors. All share-based awards (except for restricted shares and restricted share units) granted under the Plan have a life of ten years. Most awards vest ratably over three years; however, some have been granted with different vesting schedules. Of the awards outstanding, none have been granted to non-employees (except those granted to non-employee members of the Board of Directors of the Company) under the Plan. At July 31, 2017, approximately 4.1 million share based awards were available to be granted under the Plan.</w:t>
      </w:r>
    </w:p>
    <w:p>
      <w:pPr>
        <w:spacing w:after="0" w:line="1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 of stock-settled stock appreciation rights (“SARs”) granted in the years ended July 31, 2017, 2016 and 2015 were estimated on the date of grant using a lattice-based option valuation model that applies the assumptions noted in the table below. A lattice-based model considers factors such as exercise behavior, and assumes employees will exercise equity awards at different times over the contractual life of the equity awards. As a lattice-based model considers these factors, and is more flexible, the Company considers it to be a better method of valuing equity awards than a closed-form Black-Scholes model. Because lattice-based option valuation models incorporate ranges of assumptions for inputs, those ranges are disclosed. Expected volatility is based on historical volatility of the Company’s stock. The Company uses historical data to estimate equity award exercises and employee terminations within the valuation model; separate groups of employees that have similar historical exercise behavior are considered separately for valuation purposes. The expected term of equity awards granted is derived from the output of the option valuation model and represents the period of time that equity awards granted are expected to be outstanding; the range given below results from certain groups of employees exhibiting different behavior. The risk-free rate for periods within the contractual life of the equity award is based on the United States Treasury yield curve in effect at the time of grant.</w:t>
      </w:r>
    </w:p>
    <w:p>
      <w:pPr>
        <w:spacing w:after="0" w:line="128"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6560" w:type="dxa"/>
            <w:vAlign w:val="bottom"/>
          </w:tcPr>
          <w:p>
            <w:pPr>
              <w:spacing w:after="0"/>
              <w:rPr>
                <w:sz w:val="20"/>
                <w:szCs w:val="20"/>
                <w:color w:val="auto"/>
              </w:rPr>
            </w:pPr>
          </w:p>
        </w:tc>
        <w:tc>
          <w:tcPr>
            <w:tcW w:w="320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Year Ended July 31,</w:t>
            </w:r>
          </w:p>
        </w:tc>
      </w:tr>
      <w:tr>
        <w:trPr>
          <w:trHeight w:val="27"/>
        </w:trPr>
        <w:tc>
          <w:tcPr>
            <w:tcW w:w="65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56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2015</w:t>
            </w:r>
          </w:p>
        </w:tc>
      </w:tr>
      <w:tr>
        <w:trPr>
          <w:trHeight w:val="27"/>
        </w:trPr>
        <w:tc>
          <w:tcPr>
            <w:tcW w:w="6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40.3%</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40.4%</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40.6%</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6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(average in years)</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5.5-6.2</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5.3-5.9</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4.9-5.6</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0.5-1.5%</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0.3-2.2%</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0.1-2.6%</w:t>
            </w: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estimated forfeiture rates that range from 0.0% to 22.2% based upon the class of employees receiving stock-based compensation in its calculation of stock-based compensation expense for the year ended July 31, 2017. These estimates are based on historical forfeiture behavior exhibited by employees of the Company.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20"/>
          </w:cols>
          <w:pgMar w:left="240" w:top="1008" w:right="239" w:bottom="1440" w:gutter="0" w:footer="0" w:header="0"/>
        </w:sectPr>
      </w:pPr>
    </w:p>
    <w:bookmarkStart w:id="96" w:name="page97"/>
    <w:bookmarkEnd w:id="96"/>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aggregate option and SARs award activity under the Plan as of July 31, 2015, 2016 and 2017, and changes during the years then ended is presented below (in thousands, except exercise price and contractual term):</w:t>
      </w:r>
    </w:p>
    <w:p>
      <w:pPr>
        <w:spacing w:after="0" w:line="293"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380" w:type="dxa"/>
            <w:vAlign w:val="bottom"/>
          </w:tcPr>
          <w:p>
            <w:pPr>
              <w:spacing w:after="0"/>
              <w:rPr>
                <w:sz w:val="18"/>
                <w:szCs w:val="18"/>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39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38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3920" w:type="dxa"/>
            <w:vAlign w:val="bottom"/>
          </w:tcPr>
          <w:p>
            <w:pPr>
              <w:spacing w:after="0"/>
              <w:rPr>
                <w:sz w:val="20"/>
                <w:szCs w:val="20"/>
                <w:color w:val="auto"/>
              </w:rPr>
            </w:pPr>
          </w:p>
        </w:tc>
        <w:tc>
          <w:tcPr>
            <w:tcW w:w="16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220" w:type="dxa"/>
            <w:vAlign w:val="bottom"/>
          </w:tcPr>
          <w:p>
            <w:pPr>
              <w:spacing w:after="0"/>
              <w:rPr>
                <w:sz w:val="20"/>
                <w:szCs w:val="20"/>
                <w:color w:val="auto"/>
              </w:rPr>
            </w:pPr>
          </w:p>
        </w:tc>
        <w:tc>
          <w:tcPr>
            <w:tcW w:w="15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380" w:type="dxa"/>
            <w:vAlign w:val="bottom"/>
          </w:tcPr>
          <w:p>
            <w:pPr>
              <w:spacing w:after="0"/>
              <w:rPr>
                <w:sz w:val="20"/>
                <w:szCs w:val="20"/>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7"/>
        </w:trPr>
        <w:tc>
          <w:tcPr>
            <w:tcW w:w="3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August 1, 2014</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42.06</w:t>
            </w:r>
          </w:p>
        </w:tc>
        <w:tc>
          <w:tcPr>
            <w:tcW w:w="1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w:t>
            </w:r>
          </w:p>
        </w:tc>
        <w:tc>
          <w:tcPr>
            <w:tcW w:w="220" w:type="dxa"/>
            <w:vAlign w:val="bottom"/>
          </w:tcPr>
          <w:p>
            <w:pPr>
              <w:spacing w:after="0"/>
              <w:rPr>
                <w:sz w:val="21"/>
                <w:szCs w:val="21"/>
                <w:color w:val="auto"/>
              </w:rPr>
            </w:pP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91.64</w:t>
            </w:r>
          </w:p>
        </w:tc>
        <w:tc>
          <w:tcPr>
            <w:tcW w:w="1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9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36.20</w:t>
            </w:r>
          </w:p>
        </w:tc>
        <w:tc>
          <w:tcPr>
            <w:tcW w:w="1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21"/>
                <w:szCs w:val="21"/>
                <w:color w:val="auto"/>
              </w:rPr>
            </w:pP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75.99</w:t>
            </w:r>
          </w:p>
        </w:tc>
        <w:tc>
          <w:tcPr>
            <w:tcW w:w="1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July 31, 2015</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2,385</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47.96</w:t>
            </w:r>
          </w:p>
        </w:tc>
        <w:tc>
          <w:tcPr>
            <w:tcW w:w="1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tcPr>
          <w:p>
            <w:pPr>
              <w:spacing w:after="0"/>
              <w:rPr>
                <w:sz w:val="21"/>
                <w:szCs w:val="21"/>
                <w:color w:val="auto"/>
              </w:rPr>
            </w:pP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113.67</w:t>
            </w:r>
          </w:p>
        </w:tc>
        <w:tc>
          <w:tcPr>
            <w:tcW w:w="1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9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49.79</w:t>
            </w:r>
          </w:p>
        </w:tc>
        <w:tc>
          <w:tcPr>
            <w:tcW w:w="1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1"/>
                <w:szCs w:val="21"/>
                <w:color w:val="auto"/>
              </w:rPr>
            </w:pP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80.42</w:t>
            </w:r>
          </w:p>
        </w:tc>
        <w:tc>
          <w:tcPr>
            <w:tcW w:w="1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July 31, 2016</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52.98</w:t>
            </w:r>
          </w:p>
        </w:tc>
        <w:tc>
          <w:tcPr>
            <w:tcW w:w="1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tcPr>
          <w:p>
            <w:pPr>
              <w:spacing w:after="0"/>
              <w:rPr>
                <w:sz w:val="21"/>
                <w:szCs w:val="21"/>
                <w:color w:val="auto"/>
              </w:rPr>
            </w:pP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174.42</w:t>
            </w:r>
          </w:p>
        </w:tc>
        <w:tc>
          <w:tcPr>
            <w:tcW w:w="1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9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60.05</w:t>
            </w:r>
          </w:p>
        </w:tc>
        <w:tc>
          <w:tcPr>
            <w:tcW w:w="1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21"/>
                <w:szCs w:val="21"/>
                <w:color w:val="auto"/>
              </w:rPr>
            </w:pP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108.06</w:t>
            </w:r>
          </w:p>
        </w:tc>
        <w:tc>
          <w:tcPr>
            <w:tcW w:w="1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6"/>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July 31, 2017</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59.12</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 years</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347,214</w:t>
            </w:r>
          </w:p>
        </w:tc>
      </w:tr>
      <w:tr>
        <w:trPr>
          <w:trHeight w:val="243"/>
        </w:trPr>
        <w:tc>
          <w:tcPr>
            <w:tcW w:w="3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July 31, 2017</w:t>
            </w:r>
          </w:p>
        </w:tc>
        <w:tc>
          <w:tcPr>
            <w:tcW w:w="16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2,267</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58.38</w:t>
            </w:r>
          </w:p>
        </w:tc>
        <w:tc>
          <w:tcPr>
            <w:tcW w:w="1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4.3 years</w:t>
            </w:r>
          </w:p>
        </w:tc>
        <w:tc>
          <w:tcPr>
            <w:tcW w:w="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345,458</w:t>
            </w:r>
          </w:p>
        </w:tc>
      </w:tr>
      <w:tr>
        <w:trPr>
          <w:trHeight w:val="27"/>
        </w:trPr>
        <w:tc>
          <w:tcPr>
            <w:tcW w:w="39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July 31, 2017</w:t>
            </w: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46.84</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 years</w:t>
            </w: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323,243</w:t>
            </w:r>
          </w:p>
        </w:tc>
      </w:tr>
      <w:tr>
        <w:trPr>
          <w:trHeight w:val="27"/>
        </w:trPr>
        <w:tc>
          <w:tcPr>
            <w:tcW w:w="39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weighted-average grant-date fair value of SARs granted during the years ended July 31, 2017, 2016 and 2015 was $50.78, $35.20 and $29.12, respectively. The total intrinsic value of options and SARs exercised during the years ended July 31, 2017, 2016 and 2015 was $22.6 million, $13.1 million and $37.4 million, respectively. The Company had 247,000, 302,000 and 420,000 SARs that vested during the years ended July 31, 2017, 2016 and 2015, respectively. These awards had a total estimated fair value of $19.6 million, $10.8 million and $13.6 million at the date of vesting for the years ended July 31, 2017, 2016 and 2015, respectively.</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nonvested SARs as of July 31, 2017 and changes during the year then ended is presented below (in thousands, except fair value amounts):</w:t>
      </w:r>
    </w:p>
    <w:p>
      <w:pPr>
        <w:spacing w:after="0" w:line="293"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16"/>
        </w:trPr>
        <w:tc>
          <w:tcPr>
            <w:tcW w:w="42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Grant-Date</w:t>
            </w:r>
          </w:p>
        </w:tc>
      </w:tr>
      <w:tr>
        <w:trPr>
          <w:trHeight w:val="238"/>
        </w:trPr>
        <w:tc>
          <w:tcPr>
            <w:tcW w:w="4200" w:type="dxa"/>
            <w:vAlign w:val="bottom"/>
          </w:tcPr>
          <w:p>
            <w:pPr>
              <w:spacing w:after="0"/>
              <w:rPr>
                <w:sz w:val="20"/>
                <w:szCs w:val="20"/>
                <w:color w:val="auto"/>
              </w:rPr>
            </w:pPr>
          </w:p>
        </w:tc>
        <w:tc>
          <w:tcPr>
            <w:tcW w:w="2940" w:type="dxa"/>
            <w:vAlign w:val="bottom"/>
          </w:tcPr>
          <w:p>
            <w:pPr>
              <w:ind w:left="212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480" w:type="dxa"/>
            <w:vAlign w:val="bottom"/>
          </w:tcPr>
          <w:p>
            <w:pPr>
              <w:spacing w:after="0"/>
              <w:rPr>
                <w:sz w:val="20"/>
                <w:szCs w:val="20"/>
                <w:color w:val="auto"/>
              </w:rPr>
            </w:pPr>
          </w:p>
        </w:tc>
        <w:tc>
          <w:tcPr>
            <w:tcW w:w="19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7"/>
        </w:trPr>
        <w:tc>
          <w:tcPr>
            <w:tcW w:w="42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July 31, 2016</w:t>
            </w:r>
          </w:p>
        </w:tc>
        <w:tc>
          <w:tcPr>
            <w:tcW w:w="2940" w:type="dxa"/>
            <w:vAlign w:val="bottom"/>
            <w:tcBorders>
              <w:bottom w:val="single" w:sz="8" w:color="CCEEFF"/>
            </w:tcBorders>
            <w:shd w:val="clear" w:color="auto" w:fill="CCEEFF"/>
          </w:tcPr>
          <w:p>
            <w:pPr>
              <w:jc w:val="center"/>
              <w:ind w:left="1770"/>
              <w:spacing w:after="0"/>
              <w:rPr>
                <w:sz w:val="20"/>
                <w:szCs w:val="20"/>
                <w:color w:val="auto"/>
              </w:rPr>
            </w:pPr>
            <w:r>
              <w:rPr>
                <w:rFonts w:ascii="Times New Roman" w:cs="Times New Roman" w:eastAsia="Times New Roman" w:hAnsi="Times New Roman"/>
                <w:sz w:val="18"/>
                <w:szCs w:val="18"/>
                <w:color w:val="auto"/>
              </w:rPr>
              <w:t>441</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30.39</w:t>
            </w:r>
          </w:p>
        </w:tc>
      </w:tr>
      <w:tr>
        <w:trPr>
          <w:trHeight w:val="243"/>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294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auto"/>
              </w:rPr>
              <w:t>143</w:t>
            </w:r>
          </w:p>
        </w:tc>
        <w:tc>
          <w:tcPr>
            <w:tcW w:w="48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50.78</w:t>
            </w:r>
          </w:p>
        </w:tc>
      </w:tr>
      <w:tr>
        <w:trPr>
          <w:trHeight w:val="27"/>
        </w:trPr>
        <w:tc>
          <w:tcPr>
            <w:tcW w:w="42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2940" w:type="dxa"/>
            <w:vAlign w:val="bottom"/>
            <w:tcBorders>
              <w:bottom w:val="single" w:sz="8" w:color="CCEEFF"/>
            </w:tcBorders>
            <w:shd w:val="clear" w:color="auto" w:fill="CCEEFF"/>
          </w:tcPr>
          <w:p>
            <w:pPr>
              <w:jc w:val="center"/>
              <w:ind w:left="1770"/>
              <w:spacing w:after="0"/>
              <w:rPr>
                <w:sz w:val="20"/>
                <w:szCs w:val="20"/>
                <w:color w:val="auto"/>
              </w:rPr>
            </w:pPr>
            <w:r>
              <w:rPr>
                <w:rFonts w:ascii="Times New Roman" w:cs="Times New Roman" w:eastAsia="Times New Roman" w:hAnsi="Times New Roman"/>
                <w:sz w:val="18"/>
                <w:szCs w:val="18"/>
                <w:color w:val="auto"/>
              </w:rPr>
              <w:t>(247)</w:t>
            </w:r>
          </w:p>
        </w:tc>
        <w:tc>
          <w:tcPr>
            <w:tcW w:w="4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29.36</w:t>
            </w:r>
          </w:p>
        </w:tc>
      </w:tr>
      <w:tr>
        <w:trPr>
          <w:trHeight w:val="243"/>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294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(19)</w:t>
            </w:r>
          </w:p>
        </w:tc>
        <w:tc>
          <w:tcPr>
            <w:tcW w:w="48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36.65</w:t>
            </w:r>
          </w:p>
        </w:tc>
      </w:tr>
      <w:tr>
        <w:trPr>
          <w:trHeight w:val="27"/>
        </w:trPr>
        <w:tc>
          <w:tcPr>
            <w:tcW w:w="42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July 31, 2017</w:t>
            </w:r>
          </w:p>
        </w:tc>
        <w:tc>
          <w:tcPr>
            <w:tcW w:w="2940" w:type="dxa"/>
            <w:vAlign w:val="bottom"/>
            <w:tcBorders>
              <w:bottom w:val="single" w:sz="8" w:color="CCEEFF"/>
            </w:tcBorders>
            <w:shd w:val="clear" w:color="auto" w:fill="CCEEFF"/>
          </w:tcPr>
          <w:p>
            <w:pPr>
              <w:jc w:val="center"/>
              <w:ind w:left="1770"/>
              <w:spacing w:after="0"/>
              <w:rPr>
                <w:sz w:val="20"/>
                <w:szCs w:val="20"/>
                <w:color w:val="auto"/>
              </w:rPr>
            </w:pPr>
            <w:r>
              <w:rPr>
                <w:rFonts w:ascii="Times New Roman" w:cs="Times New Roman" w:eastAsia="Times New Roman" w:hAnsi="Times New Roman"/>
                <w:sz w:val="18"/>
                <w:szCs w:val="18"/>
                <w:color w:val="auto"/>
              </w:rPr>
              <w:t>318</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42.46</w:t>
            </w:r>
          </w:p>
        </w:tc>
      </w:tr>
      <w:tr>
        <w:trPr>
          <w:trHeight w:val="27"/>
        </w:trPr>
        <w:tc>
          <w:tcPr>
            <w:tcW w:w="4200" w:type="dxa"/>
            <w:vAlign w:val="bottom"/>
            <w:shd w:val="clear" w:color="auto" w:fill="000000"/>
          </w:tcPr>
          <w:p>
            <w:pPr>
              <w:spacing w:after="0"/>
              <w:rPr>
                <w:sz w:val="2"/>
                <w:szCs w:val="2"/>
                <w:color w:val="auto"/>
              </w:rPr>
            </w:pPr>
          </w:p>
        </w:tc>
        <w:tc>
          <w:tcPr>
            <w:tcW w:w="29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960" w:type="dxa"/>
            <w:vAlign w:val="bottom"/>
            <w:shd w:val="clear" w:color="auto" w:fill="000000"/>
          </w:tcPr>
          <w:p>
            <w:pPr>
              <w:spacing w:after="0"/>
              <w:rPr>
                <w:sz w:val="2"/>
                <w:szCs w:val="2"/>
                <w:color w:val="auto"/>
              </w:rPr>
            </w:pPr>
          </w:p>
        </w:tc>
      </w:tr>
    </w:tbl>
    <w:p>
      <w:pPr>
        <w:spacing w:after="0" w:line="14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nonvested restricted share units as of July 31, 2017 and changes during the year then ended is presented below (in thousands, except fair value amounts):</w:t>
      </w:r>
    </w:p>
    <w:p>
      <w:pPr>
        <w:spacing w:after="0" w:line="293"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16"/>
        </w:trPr>
        <w:tc>
          <w:tcPr>
            <w:tcW w:w="42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Grant-Date</w:t>
            </w:r>
          </w:p>
        </w:tc>
      </w:tr>
      <w:tr>
        <w:trPr>
          <w:trHeight w:val="238"/>
        </w:trPr>
        <w:tc>
          <w:tcPr>
            <w:tcW w:w="4200" w:type="dxa"/>
            <w:vAlign w:val="bottom"/>
          </w:tcPr>
          <w:p>
            <w:pPr>
              <w:spacing w:after="0"/>
              <w:rPr>
                <w:sz w:val="20"/>
                <w:szCs w:val="20"/>
                <w:color w:val="auto"/>
              </w:rPr>
            </w:pPr>
          </w:p>
        </w:tc>
        <w:tc>
          <w:tcPr>
            <w:tcW w:w="2940" w:type="dxa"/>
            <w:vAlign w:val="bottom"/>
          </w:tcPr>
          <w:p>
            <w:pPr>
              <w:ind w:left="212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480" w:type="dxa"/>
            <w:vAlign w:val="bottom"/>
          </w:tcPr>
          <w:p>
            <w:pPr>
              <w:spacing w:after="0"/>
              <w:rPr>
                <w:sz w:val="20"/>
                <w:szCs w:val="20"/>
                <w:color w:val="auto"/>
              </w:rPr>
            </w:pPr>
          </w:p>
        </w:tc>
        <w:tc>
          <w:tcPr>
            <w:tcW w:w="19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7"/>
        </w:trPr>
        <w:tc>
          <w:tcPr>
            <w:tcW w:w="42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July 31, 2016</w:t>
            </w:r>
          </w:p>
        </w:tc>
        <w:tc>
          <w:tcPr>
            <w:tcW w:w="2940" w:type="dxa"/>
            <w:vAlign w:val="bottom"/>
            <w:tcBorders>
              <w:bottom w:val="single" w:sz="8" w:color="CCEEFF"/>
            </w:tcBorders>
            <w:shd w:val="clear" w:color="auto" w:fill="CCEEFF"/>
          </w:tcPr>
          <w:p>
            <w:pPr>
              <w:jc w:val="center"/>
              <w:ind w:left="1770"/>
              <w:spacing w:after="0"/>
              <w:rPr>
                <w:sz w:val="20"/>
                <w:szCs w:val="20"/>
                <w:color w:val="auto"/>
              </w:rPr>
            </w:pPr>
            <w:r>
              <w:rPr>
                <w:rFonts w:ascii="Times New Roman" w:cs="Times New Roman" w:eastAsia="Times New Roman" w:hAnsi="Times New Roman"/>
                <w:sz w:val="18"/>
                <w:szCs w:val="18"/>
                <w:color w:val="auto"/>
              </w:rPr>
              <w:t>261</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90.54</w:t>
            </w:r>
          </w:p>
        </w:tc>
      </w:tr>
      <w:tr>
        <w:trPr>
          <w:trHeight w:val="243"/>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294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91</w:t>
            </w:r>
          </w:p>
        </w:tc>
        <w:tc>
          <w:tcPr>
            <w:tcW w:w="48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154.19</w:t>
            </w:r>
          </w:p>
        </w:tc>
      </w:tr>
      <w:tr>
        <w:trPr>
          <w:trHeight w:val="27"/>
        </w:trPr>
        <w:tc>
          <w:tcPr>
            <w:tcW w:w="42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2940" w:type="dxa"/>
            <w:vAlign w:val="bottom"/>
            <w:tcBorders>
              <w:bottom w:val="single" w:sz="8" w:color="CCEEFF"/>
            </w:tcBorders>
            <w:shd w:val="clear" w:color="auto" w:fill="CCEEFF"/>
          </w:tcPr>
          <w:p>
            <w:pPr>
              <w:jc w:val="center"/>
              <w:ind w:left="1770"/>
              <w:spacing w:after="0"/>
              <w:rPr>
                <w:sz w:val="20"/>
                <w:szCs w:val="20"/>
                <w:color w:val="auto"/>
              </w:rPr>
            </w:pPr>
            <w:r>
              <w:rPr>
                <w:rFonts w:ascii="Times New Roman" w:cs="Times New Roman" w:eastAsia="Times New Roman" w:hAnsi="Times New Roman"/>
                <w:sz w:val="18"/>
                <w:szCs w:val="18"/>
                <w:color w:val="auto"/>
              </w:rPr>
              <w:t>(121)</w:t>
            </w:r>
          </w:p>
        </w:tc>
        <w:tc>
          <w:tcPr>
            <w:tcW w:w="4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83.75</w:t>
            </w:r>
          </w:p>
        </w:tc>
      </w:tr>
      <w:tr>
        <w:trPr>
          <w:trHeight w:val="243"/>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294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(20)</w:t>
            </w:r>
          </w:p>
        </w:tc>
        <w:tc>
          <w:tcPr>
            <w:tcW w:w="48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109.12</w:t>
            </w:r>
          </w:p>
        </w:tc>
      </w:tr>
      <w:tr>
        <w:trPr>
          <w:trHeight w:val="27"/>
        </w:trPr>
        <w:tc>
          <w:tcPr>
            <w:tcW w:w="42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July 31, 2017</w:t>
            </w:r>
          </w:p>
        </w:tc>
        <w:tc>
          <w:tcPr>
            <w:tcW w:w="2940" w:type="dxa"/>
            <w:vAlign w:val="bottom"/>
            <w:tcBorders>
              <w:bottom w:val="single" w:sz="8" w:color="CCEEFF"/>
            </w:tcBorders>
            <w:shd w:val="clear" w:color="auto" w:fill="CCEEFF"/>
          </w:tcPr>
          <w:p>
            <w:pPr>
              <w:jc w:val="center"/>
              <w:ind w:left="1790"/>
              <w:spacing w:after="0"/>
              <w:rPr>
                <w:sz w:val="20"/>
                <w:szCs w:val="20"/>
                <w:color w:val="auto"/>
              </w:rPr>
            </w:pPr>
            <w:r>
              <w:rPr>
                <w:rFonts w:ascii="Times New Roman" w:cs="Times New Roman" w:eastAsia="Times New Roman" w:hAnsi="Times New Roman"/>
                <w:sz w:val="18"/>
                <w:szCs w:val="18"/>
                <w:color w:val="auto"/>
                <w:w w:val="96"/>
              </w:rPr>
              <w:t>211</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119.97</w:t>
            </w:r>
          </w:p>
        </w:tc>
      </w:tr>
      <w:tr>
        <w:trPr>
          <w:trHeight w:val="27"/>
        </w:trPr>
        <w:tc>
          <w:tcPr>
            <w:tcW w:w="4200" w:type="dxa"/>
            <w:vAlign w:val="bottom"/>
            <w:shd w:val="clear" w:color="auto" w:fill="000000"/>
          </w:tcPr>
          <w:p>
            <w:pPr>
              <w:spacing w:after="0"/>
              <w:rPr>
                <w:sz w:val="2"/>
                <w:szCs w:val="2"/>
                <w:color w:val="auto"/>
              </w:rPr>
            </w:pPr>
          </w:p>
        </w:tc>
        <w:tc>
          <w:tcPr>
            <w:tcW w:w="29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96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175"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1175" w:right="239" w:bottom="1440" w:gutter="0" w:footer="0" w:header="0"/>
          <w:type w:val="continuous"/>
        </w:sectPr>
      </w:pPr>
    </w:p>
    <w:bookmarkStart w:id="97" w:name="page98"/>
    <w:bookmarkEnd w:id="97"/>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granted 91,000 restricted share units during the year ended July 31, 2017 with a weighted-average grant-date estimated fair value of $154.19. The Company granted 142,000 restricted share units during the year ended July 31, 2016 with a weighted-average grant-date estimated fair value of $102.20. The Company granted 143,000 restricted share units during the year ended July 31, 2015 with a weighted-average grant-date estimated fair value of $83.50. The Company had 121,000, 134,000 and 113,000 restricted share units that vested during the years ended July 31, 2017, 2016 and 2015, respectively. These units had a total estimated fair value of $19.3 million, $14.6 million and $9.9 million at the date of vesting for the years ended July 31, 2017, 2016 and 2015, respectively.</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July 31, 2017, there was $20.2 million of total unrecognized compensation expense related to nonvested share-based compensation arrangements granted under the Plan, of which $12.6 million, $6.6 million and $1.0 million of expense is expected to be recognized in the years ending July 31, 2018, 2019 and 2020, respectively, assuming no future share-based awards are granted.</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received from options exercised under all share-based payment arrangements was zero, zero and $1.1 million for the years ended July 31, 2017, 2016 and 2015, respectively. The tax benefit realized or to be realized from options/SARs exercised and restricted stock units vested was $15.5 million, $10.3 million and $18.1 million for the years ended July 31, 2017, 2016 and 2015, respectively.</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 policy of using either authorized and unissued shares or treasury shares, including shares acquired by purchase in the open market, to satisfy equity award exercises.</w:t>
      </w:r>
    </w:p>
    <w:p>
      <w:pPr>
        <w:spacing w:after="0" w:line="158"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Retirement and Profit Sharing Plans</w:t>
      </w:r>
    </w:p>
    <w:p>
      <w:pPr>
        <w:spacing w:after="0" w:line="17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Company maintains a defined contribution retirement plan (the “Retirement Plan”), qualified under Section 401(k) of the Internal Revenue Code, for its U.S. employees. Under this Retirement Plan, U.S. employees are eligible to make before-tax contributions on the first day of the calendar month following the later of: (i) their employment commencement date or (ii) the date they turn 21. Participants may contribute up to 100% of their qualifying annual compensation up to the annual maximum specified by the Internal Revenue Code. The Company matches an amount equal to 50% of each participant’s contribution up to 6% of a participant’s bi-weekly qualifying compensation starting the pay period containing the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8"/>
          <w:szCs w:val="18"/>
          <w:color w:val="auto"/>
        </w:rPr>
        <w:t xml:space="preserve"> of the month after obtaining the later of:</w:t>
      </w:r>
    </w:p>
    <w:p>
      <w:pPr>
        <w:spacing w:after="0" w:line="4" w:lineRule="exact"/>
        <w:rPr>
          <w:sz w:val="20"/>
          <w:szCs w:val="20"/>
          <w:color w:val="auto"/>
        </w:rPr>
      </w:pPr>
    </w:p>
    <w:p>
      <w:pPr>
        <w:jc w:val="both"/>
        <w:ind w:firstLine="8"/>
        <w:spacing w:after="0" w:line="254" w:lineRule="auto"/>
        <w:tabs>
          <w:tab w:leader="none" w:pos="24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of employment with at least 1,000 service hours from the commencement date or (ii) if 1,000 hours within the first 12 months was not completed, then after the employee completed a cumulative 1,500 service hours. The Company’s matching contribution is entirely discretionary and may be reduced or eliminated at any time.</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Retirement Plan expense recognized by the Company for the years ended July 31, 2017, 2016 and 2015 was $5.4 million, $5.3 million and $4.5 million, respectively.</w:t>
      </w:r>
    </w:p>
    <w:p>
      <w:pPr>
        <w:spacing w:after="0" w:line="37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of the Company, including the Chief Executive Officer (“CEO”) and Chief Financial Officer (“CFO”), have evaluated the effectiveness of the Company’s disclosure controls and procedures as of the end of the period covered by this Form 10-K. The term “disclosure controls and procedures” means controls and other procedures established by the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that it files or submits under the Exchange Act is accumulated and communicated to the Company’s management, including its CEO and CFO, as appropriate, to allow timely decisions regarding required disclosure.</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upon their evaluation of the Company’s disclosure controls and procedures, the CEO and the CFO concluded that, as of the end of the period covered by this Form 10-K, the disclosure controls are effective to provide reasonable assurance that information required to be disclosed by the Company in the reports that it files or submits under the Exchange Act is accumulated and communicated to management, including the CEO and CFO, as appropriate, to allow timely decisions regarding required disclosure and are effective to provide reasonable assurance that such information is recorded, processed, summarized and reported within the time periods specified by the SEC’s rules and forms.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20"/>
          </w:cols>
          <w:pgMar w:left="240" w:top="1012" w:right="239" w:bottom="1440" w:gutter="0" w:footer="0" w:header="0"/>
        </w:sectPr>
      </w:pPr>
    </w:p>
    <w:bookmarkStart w:id="98" w:name="page99"/>
    <w:bookmarkEnd w:id="98"/>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including its CEO and CFO, does not expect that the Company’s controls and procedures will prevent or detect all error and all fraud. A control system, no matter how well conceived or operated, can provide only reasonable, not absolute, assurance that the objectives of the control system are met.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report of management required under this Item 9A is contained in Item 8 of this Form 10-K under the caption “Management’s Report on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Independent Registered Public Accounting Firm</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attestation report required under this Item 9A is contained in Item 8 of this Form 10-K under the caption “Report of Independent Registered Public Accounting Firm.”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quarter ended July 31, 2017 that have materially affected, or are reasonably likely to materially affect, the Company’s internal control over financial reporting.</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to file with the SEC in October 2017 (and, in any event, not later than 120 days after the close of our last fiscal year), a definitive Proxy Statement, pursuant to SEC Regulation 14A in connection with our Annual Meeting of Shareholders to be held in December 2017.</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Company’s definitive Proxy Statement for the 2017 annual meeting of stockholders under the sections entitled “Information with Respect to Nominees,” “Management” and “Corporate Governance.”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Company’s definitive Proxy Statement for the 2017 annual meeting of stockholders under the section entitled “Executive Compensation.”</w:t>
      </w:r>
    </w:p>
    <w:p>
      <w:pPr>
        <w:spacing w:after="0" w:line="158" w:lineRule="exact"/>
        <w:rPr>
          <w:sz w:val="20"/>
          <w:szCs w:val="20"/>
          <w:color w:val="auto"/>
        </w:rPr>
      </w:pPr>
    </w:p>
    <w:p>
      <w:pPr>
        <w:jc w:val="both"/>
        <w:ind w:left="1300" w:hanging="1296"/>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1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Company’s definitive Proxy Statement for the 2017 annual meeting of stockholders under the sections entitled “Security Ownership of Directors and Executive Officers” and “Information as to Certain Stockholders.”</w:t>
      </w:r>
    </w:p>
    <w:p>
      <w:pPr>
        <w:spacing w:after="0" w:line="320"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Company’s definitive Proxy Statement for the 2017 annual meeting of stockholders under the sections entitled “Determinations Regarding Independence” and “Transactions with Related Persons.”</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Company’s definitive Proxy Statement for the 2017 annual meeting of stockholders under the section entitled “Proposal 4. Ratification of the Selection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20"/>
          </w:cols>
          <w:pgMar w:left="240" w:top="1174" w:right="239" w:bottom="1440" w:gutter="0" w:footer="0" w:header="0"/>
        </w:sectPr>
      </w:pPr>
    </w:p>
    <w:bookmarkStart w:id="99" w:name="page100"/>
    <w:bookmarkEnd w:id="99"/>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02"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Index to Financial Statements.</w:t>
      </w:r>
    </w:p>
    <w:p>
      <w:pPr>
        <w:spacing w:after="0" w:line="225" w:lineRule="exact"/>
        <w:rPr>
          <w:rFonts w:ascii="Times New Roman" w:cs="Times New Roman" w:eastAsia="Times New Roman" w:hAnsi="Times New Roman"/>
          <w:sz w:val="18"/>
          <w:szCs w:val="18"/>
          <w:color w:val="auto"/>
        </w:rPr>
      </w:pPr>
    </w:p>
    <w:p>
      <w:pPr>
        <w:ind w:left="1460" w:hanging="642"/>
        <w:spacing w:after="0"/>
        <w:tabs>
          <w:tab w:leader="none" w:pos="14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8. Financial Statements and Supplementary Data” for the index to the Financial Statements.</w:t>
      </w:r>
    </w:p>
    <w:p>
      <w:pPr>
        <w:spacing w:after="0" w:line="27" w:lineRule="exact"/>
        <w:rPr>
          <w:rFonts w:ascii="Times New Roman" w:cs="Times New Roman" w:eastAsia="Times New Roman" w:hAnsi="Times New Roman"/>
          <w:sz w:val="18"/>
          <w:szCs w:val="18"/>
          <w:color w:val="auto"/>
        </w:rPr>
      </w:pPr>
    </w:p>
    <w:p>
      <w:pPr>
        <w:ind w:left="1460" w:hanging="642"/>
        <w:spacing w:after="0" w:line="250" w:lineRule="auto"/>
        <w:tabs>
          <w:tab w:leader="none" w:pos="14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because they are not required or not applicable, or the required information is shown in the financial statements or notes to the financial statements.</w:t>
      </w:r>
    </w:p>
    <w:p>
      <w:pPr>
        <w:ind w:left="1460" w:hanging="642"/>
        <w:spacing w:after="0"/>
        <w:tabs>
          <w:tab w:leader="none" w:pos="14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Index to Exhibits below.</w:t>
      </w:r>
    </w:p>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exhibits are either filed or furnished herewith (as applicable) or, if so indicated, incorporated by reference to the documents indicated in parentheses, which have previously been filed or furnished (as applicable) with the Securities and Exchange Commission.</w:t>
      </w:r>
    </w:p>
    <w:p>
      <w:pPr>
        <w:spacing w:after="0" w:line="2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Posted</w:t>
      </w:r>
    </w:p>
    <w:p>
      <w:pPr>
        <w:spacing w:after="0" w:line="31" w:lineRule="exact"/>
        <w:rPr>
          <w:sz w:val="20"/>
          <w:szCs w:val="20"/>
          <w:color w:val="auto"/>
        </w:rPr>
      </w:pPr>
    </w:p>
    <w:p>
      <w:pPr>
        <w:ind w:left="240"/>
        <w:spacing w:after="0"/>
        <w:tabs>
          <w:tab w:leader="none" w:pos="582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5829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25" w:lineRule="exact"/>
        <w:rPr>
          <w:sz w:val="20"/>
          <w:szCs w:val="20"/>
          <w:color w:val="auto"/>
        </w:rPr>
      </w:pPr>
    </w:p>
    <w:p>
      <w:pPr>
        <w:jc w:val="both"/>
        <w:ind w:left="1180" w:right="20" w:hanging="766"/>
        <w:spacing w:after="0" w:line="261" w:lineRule="auto"/>
        <w:tabs>
          <w:tab w:leader="none" w:pos="11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2.1</w:t>
      </w:r>
      <w:r>
        <w:rPr>
          <w:sz w:val="20"/>
          <w:szCs w:val="20"/>
          <w:color w:val="auto"/>
        </w:rPr>
        <w:tab/>
      </w:r>
      <w:hyperlink r:id="rId23">
        <w:r>
          <w:rPr>
            <w:rFonts w:ascii="Times New Roman" w:cs="Times New Roman" w:eastAsia="Times New Roman" w:hAnsi="Times New Roman"/>
            <w:sz w:val="18"/>
            <w:szCs w:val="18"/>
            <w:u w:val="single" w:color="auto"/>
            <w:color w:val="0000FF"/>
          </w:rPr>
          <w:t>Transaction Agreement, dated as of May 24, 2013, between VR CPC Holdings, Inc. and ASC Utah LLC, Talisker Land Holdings, LLC,</w:t>
        </w:r>
      </w:hyperlink>
      <w:r>
        <w:rPr>
          <w:rFonts w:ascii="Times New Roman" w:cs="Times New Roman" w:eastAsia="Times New Roman" w:hAnsi="Times New Roman"/>
          <w:sz w:val="18"/>
          <w:szCs w:val="18"/>
          <w:u w:val="single" w:color="auto"/>
          <w:color w:val="0000FF"/>
        </w:rPr>
        <w:t xml:space="preserve"> </w:t>
      </w:r>
      <w:hyperlink r:id="rId23">
        <w:r>
          <w:rPr>
            <w:rFonts w:ascii="Times New Roman" w:cs="Times New Roman" w:eastAsia="Times New Roman" w:hAnsi="Times New Roman"/>
            <w:sz w:val="18"/>
            <w:szCs w:val="18"/>
            <w:u w:val="single" w:color="auto"/>
            <w:color w:val="0000FF"/>
          </w:rPr>
          <w:t>Talisker Canyons Lands LLC, Talisker Canyons Leaseco LLC, American Skiing Company Resort Properties LLC, Talisker Canyons Propco</w:t>
        </w:r>
      </w:hyperlink>
      <w:r>
        <w:rPr>
          <w:rFonts w:ascii="Times New Roman" w:cs="Times New Roman" w:eastAsia="Times New Roman" w:hAnsi="Times New Roman"/>
          <w:sz w:val="18"/>
          <w:szCs w:val="18"/>
          <w:u w:val="single" w:color="auto"/>
          <w:color w:val="0000FF"/>
        </w:rPr>
        <w:t xml:space="preserve"> </w:t>
      </w:r>
      <w:hyperlink r:id="rId23">
        <w:r>
          <w:rPr>
            <w:rFonts w:ascii="Times New Roman" w:cs="Times New Roman" w:eastAsia="Times New Roman" w:hAnsi="Times New Roman"/>
            <w:sz w:val="18"/>
            <w:szCs w:val="18"/>
            <w:u w:val="single" w:color="auto"/>
            <w:color w:val="0000FF"/>
          </w:rPr>
          <w:t>LLC and Talisker Canyons Finance Co LLC. (Incorporated by reference to Exhibit 2.1 on Form 8-K of Vail Resorts, Inc. filed on May 30,</w:t>
        </w:r>
      </w:hyperlink>
      <w:r>
        <w:rPr>
          <w:rFonts w:ascii="Times New Roman" w:cs="Times New Roman" w:eastAsia="Times New Roman" w:hAnsi="Times New Roman"/>
          <w:sz w:val="18"/>
          <w:szCs w:val="18"/>
          <w:u w:val="single" w:color="auto"/>
          <w:color w:val="0000FF"/>
        </w:rPr>
        <w:t xml:space="preserve"> </w:t>
      </w:r>
      <w:hyperlink r:id="rId23">
        <w:r>
          <w:rPr>
            <w:rFonts w:ascii="Times New Roman" w:cs="Times New Roman" w:eastAsia="Times New Roman" w:hAnsi="Times New Roman"/>
            <w:sz w:val="18"/>
            <w:szCs w:val="18"/>
            <w:u w:val="single" w:color="auto"/>
            <w:color w:val="0000FF"/>
          </w:rPr>
          <w:t>2013) (File No. 001-09614).</w:t>
        </w:r>
      </w:hyperlink>
    </w:p>
    <w:p>
      <w:pPr>
        <w:spacing w:after="0" w:line="18" w:lineRule="exact"/>
        <w:rPr>
          <w:rFonts w:ascii="Times New Roman" w:cs="Times New Roman" w:eastAsia="Times New Roman" w:hAnsi="Times New Roman"/>
          <w:sz w:val="18"/>
          <w:szCs w:val="18"/>
          <w:u w:val="single" w:color="auto"/>
          <w:color w:val="0000FF"/>
        </w:rPr>
      </w:pPr>
    </w:p>
    <w:p>
      <w:pPr>
        <w:jc w:val="both"/>
        <w:ind w:left="1180" w:right="40" w:hanging="766"/>
        <w:spacing w:after="0" w:line="266" w:lineRule="auto"/>
        <w:tabs>
          <w:tab w:leader="none" w:pos="11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2.2</w:t>
      </w:r>
      <w:r>
        <w:rPr>
          <w:sz w:val="20"/>
          <w:szCs w:val="20"/>
          <w:color w:val="auto"/>
        </w:rPr>
        <w:tab/>
      </w:r>
      <w:hyperlink r:id="rId24">
        <w:r>
          <w:rPr>
            <w:rFonts w:ascii="Times New Roman" w:cs="Times New Roman" w:eastAsia="Times New Roman" w:hAnsi="Times New Roman"/>
            <w:sz w:val="18"/>
            <w:szCs w:val="18"/>
            <w:u w:val="single" w:color="auto"/>
            <w:color w:val="0000FF"/>
          </w:rPr>
          <w:t>Purchase and Sale Agreement, dated as of September 11, 2014, between VR CPC Holdings, Inc. and Greater Park City Company, Powdr</w:t>
        </w:r>
      </w:hyperlink>
      <w:r>
        <w:rPr>
          <w:rFonts w:ascii="Times New Roman" w:cs="Times New Roman" w:eastAsia="Times New Roman" w:hAnsi="Times New Roman"/>
          <w:sz w:val="18"/>
          <w:szCs w:val="18"/>
          <w:u w:val="single" w:color="auto"/>
          <w:color w:val="0000FF"/>
        </w:rPr>
        <w:t xml:space="preserve"> </w:t>
      </w:r>
      <w:hyperlink r:id="rId24">
        <w:r>
          <w:rPr>
            <w:rFonts w:ascii="Times New Roman" w:cs="Times New Roman" w:eastAsia="Times New Roman" w:hAnsi="Times New Roman"/>
            <w:sz w:val="18"/>
            <w:szCs w:val="18"/>
            <w:u w:val="single" w:color="auto"/>
            <w:color w:val="0000FF"/>
          </w:rPr>
          <w:t>Corp., Greater Properties, Inc., Park Properties, Inc. and Powdr Development Company. (Incorporated by reference to Exhibit 2.1 on Form</w:t>
        </w:r>
      </w:hyperlink>
      <w:r>
        <w:rPr>
          <w:rFonts w:ascii="Times New Roman" w:cs="Times New Roman" w:eastAsia="Times New Roman" w:hAnsi="Times New Roman"/>
          <w:sz w:val="18"/>
          <w:szCs w:val="18"/>
          <w:u w:val="single" w:color="auto"/>
          <w:color w:val="0000FF"/>
        </w:rPr>
        <w:t xml:space="preserve"> </w:t>
      </w:r>
      <w:hyperlink r:id="rId24">
        <w:r>
          <w:rPr>
            <w:rFonts w:ascii="Times New Roman" w:cs="Times New Roman" w:eastAsia="Times New Roman" w:hAnsi="Times New Roman"/>
            <w:sz w:val="18"/>
            <w:szCs w:val="18"/>
            <w:u w:val="single" w:color="auto"/>
            <w:color w:val="0000FF"/>
          </w:rPr>
          <w:t>10-Q of Vail Resorts, Inc. for the quarter ended October 31, 2014) (File No. 001-09614).</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420"/>
        <w:spacing w:after="0"/>
        <w:tabs>
          <w:tab w:leader="none" w:pos="11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2.3</w:t>
      </w:r>
      <w:r>
        <w:rPr>
          <w:sz w:val="20"/>
          <w:szCs w:val="20"/>
          <w:color w:val="auto"/>
        </w:rPr>
        <w:tab/>
      </w:r>
      <w:hyperlink r:id="rId26">
        <w:r>
          <w:rPr>
            <w:rFonts w:ascii="Times New Roman" w:cs="Times New Roman" w:eastAsia="Times New Roman" w:hAnsi="Times New Roman"/>
            <w:sz w:val="18"/>
            <w:szCs w:val="18"/>
            <w:u w:val="single" w:color="auto"/>
            <w:color w:val="0000FF"/>
          </w:rPr>
          <w:t>Arrangement Agreement, dated as of August 5, 2016, between Vail Resorts, Inc., 1068877 B.C. Ltd. and Whistler Blackcomb Holdings Inc.</w:t>
        </w:r>
      </w:hyperlink>
    </w:p>
    <w:p>
      <w:pPr>
        <w:spacing w:after="0" w:line="27" w:lineRule="exact"/>
        <w:rPr>
          <w:rFonts w:ascii="Times New Roman" w:cs="Times New Roman" w:eastAsia="Times New Roman" w:hAnsi="Times New Roman"/>
          <w:sz w:val="18"/>
          <w:szCs w:val="18"/>
          <w:u w:val="single" w:color="auto"/>
          <w:color w:val="0000FF"/>
        </w:rPr>
      </w:pPr>
    </w:p>
    <w:p>
      <w:pPr>
        <w:ind w:left="1180"/>
        <w:spacing w:after="0"/>
        <w:rPr>
          <w:rFonts w:ascii="Times New Roman" w:cs="Times New Roman" w:eastAsia="Times New Roman" w:hAnsi="Times New Roman"/>
          <w:sz w:val="18"/>
          <w:szCs w:val="18"/>
          <w:u w:val="single" w:color="auto"/>
          <w:color w:val="0000FF"/>
        </w:rPr>
      </w:pPr>
      <w:hyperlink r:id="rId26">
        <w:r>
          <w:rPr>
            <w:rFonts w:ascii="Times New Roman" w:cs="Times New Roman" w:eastAsia="Times New Roman" w:hAnsi="Times New Roman"/>
            <w:sz w:val="18"/>
            <w:szCs w:val="18"/>
            <w:u w:val="single" w:color="auto"/>
            <w:color w:val="0000FF"/>
          </w:rPr>
          <w:t>(Incorporated by reference to Exhibit 2.1 on Form 8-K of Vail Resorts, Inc. filed on August 8, 2016) (File No. 001-09614).</w:t>
        </w:r>
      </w:hyperlink>
    </w:p>
    <w:p>
      <w:pPr>
        <w:spacing w:after="0" w:line="45" w:lineRule="exact"/>
        <w:rPr>
          <w:rFonts w:ascii="Times New Roman" w:cs="Times New Roman" w:eastAsia="Times New Roman" w:hAnsi="Times New Roman"/>
          <w:sz w:val="18"/>
          <w:szCs w:val="18"/>
          <w:u w:val="single" w:color="auto"/>
          <w:color w:val="0000FF"/>
        </w:rPr>
      </w:pPr>
    </w:p>
    <w:p>
      <w:pPr>
        <w:jc w:val="both"/>
        <w:ind w:left="1180" w:right="40" w:hanging="766"/>
        <w:spacing w:after="0" w:line="281" w:lineRule="auto"/>
        <w:tabs>
          <w:tab w:leader="none" w:pos="11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27">
        <w:r>
          <w:rPr>
            <w:rFonts w:ascii="Times New Roman" w:cs="Times New Roman" w:eastAsia="Times New Roman" w:hAnsi="Times New Roman"/>
            <w:sz w:val="18"/>
            <w:szCs w:val="18"/>
            <w:u w:val="single" w:color="auto"/>
            <w:color w:val="0000FF"/>
          </w:rPr>
          <w:t>Amended and Restated Certificate of Incorporation of Vail Resorts, Inc., dated January 5, 2005. (Incorporated by reference to Exhibit 3.1 on</w:t>
        </w:r>
      </w:hyperlink>
      <w:r>
        <w:rPr>
          <w:rFonts w:ascii="Times New Roman" w:cs="Times New Roman" w:eastAsia="Times New Roman" w:hAnsi="Times New Roman"/>
          <w:sz w:val="18"/>
          <w:szCs w:val="18"/>
          <w:u w:val="single" w:color="auto"/>
          <w:color w:val="0000FF"/>
        </w:rPr>
        <w:t xml:space="preserve"> </w:t>
      </w:r>
      <w:hyperlink r:id="rId27">
        <w:r>
          <w:rPr>
            <w:rFonts w:ascii="Times New Roman" w:cs="Times New Roman" w:eastAsia="Times New Roman" w:hAnsi="Times New Roman"/>
            <w:sz w:val="18"/>
            <w:szCs w:val="18"/>
            <w:u w:val="single" w:color="auto"/>
            <w:color w:val="0000FF"/>
          </w:rPr>
          <w:t>Form 10-Q of Vail Resorts, Inc. for the quarter ended January 31, 2005)(File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420"/>
        <w:spacing w:after="0"/>
        <w:tabs>
          <w:tab w:leader="none" w:pos="11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29">
        <w:r>
          <w:rPr>
            <w:rFonts w:ascii="Times New Roman" w:cs="Times New Roman" w:eastAsia="Times New Roman" w:hAnsi="Times New Roman"/>
            <w:sz w:val="18"/>
            <w:szCs w:val="18"/>
            <w:u w:val="single" w:color="auto"/>
            <w:color w:val="0000FF"/>
          </w:rPr>
          <w:t>Certificate of Amendment of Amended and Restated Certificate of Incorporation of Vail Resorts, Inc., dated December 7, 2011.</w:t>
        </w:r>
      </w:hyperlink>
    </w:p>
    <w:p>
      <w:pPr>
        <w:spacing w:after="0" w:line="27" w:lineRule="exact"/>
        <w:rPr>
          <w:sz w:val="20"/>
          <w:szCs w:val="20"/>
          <w:color w:val="auto"/>
        </w:rPr>
      </w:pPr>
    </w:p>
    <w:p>
      <w:pPr>
        <w:ind w:left="1180"/>
        <w:spacing w:after="0"/>
        <w:rPr>
          <w:rFonts w:ascii="Times New Roman" w:cs="Times New Roman" w:eastAsia="Times New Roman" w:hAnsi="Times New Roman"/>
          <w:sz w:val="18"/>
          <w:szCs w:val="18"/>
          <w:u w:val="single" w:color="auto"/>
          <w:color w:val="0000FF"/>
        </w:rPr>
      </w:pPr>
      <w:hyperlink r:id="rId29">
        <w:r>
          <w:rPr>
            <w:rFonts w:ascii="Times New Roman" w:cs="Times New Roman" w:eastAsia="Times New Roman" w:hAnsi="Times New Roman"/>
            <w:sz w:val="18"/>
            <w:szCs w:val="18"/>
            <w:u w:val="single" w:color="auto"/>
            <w:color w:val="0000FF"/>
          </w:rPr>
          <w:t>(Incorporated by reference to Exhibit 3.1 on Form 8-K of Vail Resorts, Inc. filed on December 8, 2011) (File No. 001-09614).</w:t>
        </w:r>
      </w:hyperlink>
    </w:p>
    <w:p>
      <w:pPr>
        <w:spacing w:after="0" w:line="45" w:lineRule="exact"/>
        <w:rPr>
          <w:sz w:val="20"/>
          <w:szCs w:val="20"/>
          <w:color w:val="auto"/>
        </w:rPr>
      </w:pPr>
    </w:p>
    <w:p>
      <w:pPr>
        <w:jc w:val="both"/>
        <w:ind w:left="1180" w:right="40" w:hanging="766"/>
        <w:spacing w:after="0" w:line="282" w:lineRule="auto"/>
        <w:tabs>
          <w:tab w:leader="none" w:pos="11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3.3</w:t>
      </w:r>
      <w:r>
        <w:rPr>
          <w:sz w:val="20"/>
          <w:szCs w:val="20"/>
          <w:color w:val="auto"/>
        </w:rPr>
        <w:tab/>
      </w:r>
      <w:hyperlink r:id="rId30">
        <w:r>
          <w:rPr>
            <w:rFonts w:ascii="Times New Roman" w:cs="Times New Roman" w:eastAsia="Times New Roman" w:hAnsi="Times New Roman"/>
            <w:sz w:val="18"/>
            <w:szCs w:val="18"/>
            <w:u w:val="single" w:color="auto"/>
            <w:color w:val="0000FF"/>
          </w:rPr>
          <w:t>Certificate of Designations of Special Voting Preferred Stock of Vail Resorts, Inc., dated October 17, 2016. (Incorporated by reference to</w:t>
        </w:r>
      </w:hyperlink>
      <w:r>
        <w:rPr>
          <w:rFonts w:ascii="Times New Roman" w:cs="Times New Roman" w:eastAsia="Times New Roman" w:hAnsi="Times New Roman"/>
          <w:sz w:val="18"/>
          <w:szCs w:val="18"/>
          <w:u w:val="single" w:color="auto"/>
          <w:color w:val="0000FF"/>
        </w:rPr>
        <w:t xml:space="preserve"> </w:t>
      </w:r>
      <w:hyperlink r:id="rId30">
        <w:r>
          <w:rPr>
            <w:rFonts w:ascii="Times New Roman" w:cs="Times New Roman" w:eastAsia="Times New Roman" w:hAnsi="Times New Roman"/>
            <w:sz w:val="18"/>
            <w:szCs w:val="18"/>
            <w:u w:val="single" w:color="auto"/>
            <w:color w:val="0000FF"/>
          </w:rPr>
          <w:t>Exhibit 3.1 on Form 8-K of Vail Resorts, Inc. filed on October 17, 2016)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196" w:lineRule="exact"/>
        <w:rPr>
          <w:sz w:val="20"/>
          <w:szCs w:val="20"/>
          <w:color w:val="auto"/>
        </w:rPr>
      </w:pPr>
    </w:p>
    <w:p>
      <w:pPr>
        <w:jc w:val="both"/>
        <w:ind w:left="1180" w:right="40" w:hanging="766"/>
        <w:spacing w:after="0" w:line="281" w:lineRule="auto"/>
        <w:tabs>
          <w:tab w:leader="none" w:pos="11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3.4</w:t>
      </w:r>
      <w:r>
        <w:rPr>
          <w:sz w:val="20"/>
          <w:szCs w:val="20"/>
          <w:color w:val="auto"/>
        </w:rPr>
        <w:tab/>
      </w:r>
      <w:hyperlink r:id="rId32">
        <w:r>
          <w:rPr>
            <w:rFonts w:ascii="Times New Roman" w:cs="Times New Roman" w:eastAsia="Times New Roman" w:hAnsi="Times New Roman"/>
            <w:sz w:val="18"/>
            <w:szCs w:val="18"/>
            <w:u w:val="single" w:color="auto"/>
            <w:color w:val="0000FF"/>
          </w:rPr>
          <w:t>Amended and Restated Bylaws of Vail Resorts, Inc. , dated December 7, 2011. (Incorporated by reference to Exhibit 3.2 on Form 8-K of Vail</w:t>
        </w:r>
      </w:hyperlink>
      <w:r>
        <w:rPr>
          <w:rFonts w:ascii="Times New Roman" w:cs="Times New Roman" w:eastAsia="Times New Roman" w:hAnsi="Times New Roman"/>
          <w:sz w:val="18"/>
          <w:szCs w:val="18"/>
          <w:u w:val="single" w:color="auto"/>
          <w:color w:val="0000FF"/>
        </w:rPr>
        <w:t xml:space="preserve"> </w:t>
      </w:r>
      <w:hyperlink r:id="rId32">
        <w:r>
          <w:rPr>
            <w:rFonts w:ascii="Times New Roman" w:cs="Times New Roman" w:eastAsia="Times New Roman" w:hAnsi="Times New Roman"/>
            <w:sz w:val="18"/>
            <w:szCs w:val="18"/>
            <w:u w:val="single" w:color="auto"/>
            <w:color w:val="0000FF"/>
          </w:rPr>
          <w:t>Resorts, Inc. filed on December 8, 2011) (File No. 001-09614).</w:t>
        </w:r>
      </w:hyperlink>
    </w:p>
    <w:p>
      <w:pPr>
        <w:spacing w:after="0" w:line="2" w:lineRule="exact"/>
        <w:rPr>
          <w:sz w:val="20"/>
          <w:szCs w:val="20"/>
          <w:color w:val="auto"/>
        </w:rPr>
      </w:pPr>
    </w:p>
    <w:p>
      <w:pPr>
        <w:ind w:left="380"/>
        <w:spacing w:after="0"/>
        <w:tabs>
          <w:tab w:leader="none" w:pos="11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w:anchor="page106">
        <w:r>
          <w:rPr>
            <w:rFonts w:ascii="Times New Roman" w:cs="Times New Roman" w:eastAsia="Times New Roman" w:hAnsi="Times New Roman"/>
            <w:sz w:val="18"/>
            <w:szCs w:val="18"/>
            <w:u w:val="single" w:color="auto"/>
            <w:color w:val="0000FF"/>
          </w:rPr>
          <w:t>Forest Service Unified Permit for Heavenly ski area, dated April 29, 2002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ind w:left="1180" w:right="40" w:hanging="911"/>
        <w:spacing w:after="0" w:line="281" w:lineRule="auto"/>
        <w:tabs>
          <w:tab w:leader="none" w:pos="11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10.2(a)</w:t>
      </w:r>
      <w:r>
        <w:rPr>
          <w:sz w:val="20"/>
          <w:szCs w:val="20"/>
          <w:color w:val="auto"/>
        </w:rPr>
        <w:tab/>
      </w:r>
      <w:hyperlink r:id="rId34">
        <w:r>
          <w:rPr>
            <w:rFonts w:ascii="Times New Roman" w:cs="Times New Roman" w:eastAsia="Times New Roman" w:hAnsi="Times New Roman"/>
            <w:sz w:val="18"/>
            <w:szCs w:val="18"/>
            <w:u w:val="single" w:color="auto"/>
            <w:color w:val="0000FF"/>
          </w:rPr>
          <w:t>Forest Service Unified Permit for Keystone ski area, dated December 30, 1996. (Incorporated by reference to Exhibit 99.2(a) on Form 10-Q</w:t>
        </w:r>
      </w:hyperlink>
      <w:r>
        <w:rPr>
          <w:rFonts w:ascii="Times New Roman" w:cs="Times New Roman" w:eastAsia="Times New Roman" w:hAnsi="Times New Roman"/>
          <w:sz w:val="18"/>
          <w:szCs w:val="18"/>
          <w:u w:val="single" w:color="auto"/>
          <w:color w:val="0000FF"/>
        </w:rPr>
        <w:t xml:space="preserve"> </w:t>
      </w:r>
      <w:hyperlink r:id="rId34">
        <w:r>
          <w:rPr>
            <w:rFonts w:ascii="Times New Roman" w:cs="Times New Roman" w:eastAsia="Times New Roman" w:hAnsi="Times New Roman"/>
            <w:sz w:val="18"/>
            <w:szCs w:val="18"/>
            <w:u w:val="single" w:color="auto"/>
            <w:color w:val="0000FF"/>
          </w:rPr>
          <w:t>of Vail Resorts, Inc. for the quarter ended October 31, 2002) (File No. 001-09614).</w:t>
        </w:r>
      </w:hyperlink>
    </w:p>
    <w:p>
      <w:pPr>
        <w:spacing w:after="0" w:line="2" w:lineRule="exact"/>
        <w:rPr>
          <w:sz w:val="20"/>
          <w:szCs w:val="20"/>
          <w:color w:val="auto"/>
        </w:rPr>
      </w:pPr>
    </w:p>
    <w:p>
      <w:pPr>
        <w:ind w:left="1180" w:right="40" w:hanging="917"/>
        <w:spacing w:after="0" w:line="281" w:lineRule="auto"/>
        <w:tabs>
          <w:tab w:leader="none" w:pos="11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10.2(b)</w:t>
      </w:r>
      <w:r>
        <w:rPr>
          <w:sz w:val="20"/>
          <w:szCs w:val="20"/>
          <w:color w:val="auto"/>
        </w:rPr>
        <w:tab/>
      </w:r>
      <w:hyperlink r:id="rId35">
        <w:r>
          <w:rPr>
            <w:rFonts w:ascii="Times New Roman" w:cs="Times New Roman" w:eastAsia="Times New Roman" w:hAnsi="Times New Roman"/>
            <w:sz w:val="18"/>
            <w:szCs w:val="18"/>
            <w:u w:val="single" w:color="auto"/>
            <w:color w:val="0000FF"/>
          </w:rPr>
          <w:t>Amendment No. 2 to Forest Service Unified Permit for Keystone ski area. (Incorporated by reference to Exhibit 99.2(b) on Form 10-Q of</w:t>
        </w:r>
      </w:hyperlink>
      <w:r>
        <w:rPr>
          <w:rFonts w:ascii="Times New Roman" w:cs="Times New Roman" w:eastAsia="Times New Roman" w:hAnsi="Times New Roman"/>
          <w:sz w:val="18"/>
          <w:szCs w:val="18"/>
          <w:u w:val="single" w:color="auto"/>
          <w:color w:val="0000FF"/>
        </w:rPr>
        <w:t xml:space="preserve"> </w:t>
      </w:r>
      <w:hyperlink r:id="rId35">
        <w:r>
          <w:rPr>
            <w:rFonts w:ascii="Times New Roman" w:cs="Times New Roman" w:eastAsia="Times New Roman" w:hAnsi="Times New Roman"/>
            <w:sz w:val="18"/>
            <w:szCs w:val="18"/>
            <w:u w:val="single" w:color="auto"/>
            <w:color w:val="0000FF"/>
          </w:rPr>
          <w:t>Vail Resorts, Inc. for the quarter ended October 31, 2002)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1180" w:right="40" w:hanging="911"/>
        <w:spacing w:after="0" w:line="281" w:lineRule="auto"/>
        <w:tabs>
          <w:tab w:leader="none" w:pos="11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10.2(c)</w:t>
      </w:r>
      <w:r>
        <w:rPr>
          <w:sz w:val="20"/>
          <w:szCs w:val="20"/>
          <w:color w:val="auto"/>
        </w:rPr>
        <w:tab/>
      </w:r>
      <w:hyperlink r:id="rId37">
        <w:r>
          <w:rPr>
            <w:rFonts w:ascii="Times New Roman" w:cs="Times New Roman" w:eastAsia="Times New Roman" w:hAnsi="Times New Roman"/>
            <w:sz w:val="18"/>
            <w:szCs w:val="18"/>
            <w:u w:val="single" w:color="auto"/>
            <w:color w:val="0000FF"/>
          </w:rPr>
          <w:t>Amendment No. 3 to Forest Service Unified Permit for Keystone ski area. (Incorporated by reference to Exhibit 10.3 (c) on Form 10-K of</w:t>
        </w:r>
      </w:hyperlink>
      <w:r>
        <w:rPr>
          <w:rFonts w:ascii="Times New Roman" w:cs="Times New Roman" w:eastAsia="Times New Roman" w:hAnsi="Times New Roman"/>
          <w:sz w:val="18"/>
          <w:szCs w:val="18"/>
          <w:u w:val="single" w:color="auto"/>
          <w:color w:val="0000FF"/>
        </w:rPr>
        <w:t xml:space="preserve"> </w:t>
      </w:r>
      <w:hyperlink r:id="rId37">
        <w:r>
          <w:rPr>
            <w:rFonts w:ascii="Times New Roman" w:cs="Times New Roman" w:eastAsia="Times New Roman" w:hAnsi="Times New Roman"/>
            <w:sz w:val="18"/>
            <w:szCs w:val="18"/>
            <w:u w:val="single" w:color="auto"/>
            <w:color w:val="0000FF"/>
          </w:rPr>
          <w:t>Vail Resorts, Inc. for the year ended July 31, 2005) (File No. 001-09614).</w:t>
        </w:r>
      </w:hyperlink>
    </w:p>
    <w:p>
      <w:pPr>
        <w:spacing w:after="0" w:line="2" w:lineRule="exact"/>
        <w:rPr>
          <w:sz w:val="20"/>
          <w:szCs w:val="20"/>
          <w:color w:val="auto"/>
        </w:rPr>
      </w:pPr>
    </w:p>
    <w:p>
      <w:pPr>
        <w:ind w:left="1180" w:right="20" w:hanging="917"/>
        <w:spacing w:after="0" w:line="281" w:lineRule="auto"/>
        <w:tabs>
          <w:tab w:leader="none" w:pos="11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10.2(d)</w:t>
      </w:r>
      <w:r>
        <w:rPr>
          <w:sz w:val="20"/>
          <w:szCs w:val="20"/>
          <w:color w:val="auto"/>
        </w:rPr>
        <w:tab/>
      </w:r>
      <w:hyperlink r:id="rId38">
        <w:r>
          <w:rPr>
            <w:rFonts w:ascii="Times New Roman" w:cs="Times New Roman" w:eastAsia="Times New Roman" w:hAnsi="Times New Roman"/>
            <w:sz w:val="18"/>
            <w:szCs w:val="18"/>
            <w:u w:val="single" w:color="auto"/>
            <w:color w:val="0000FF"/>
          </w:rPr>
          <w:t>Amendment No. 4 to Forest Service Unified Permit for Keystone ski area. (Incorporated by reference to Exhibit 10.3 (d) on Form 10-K of</w:t>
        </w:r>
      </w:hyperlink>
      <w:r>
        <w:rPr>
          <w:rFonts w:ascii="Times New Roman" w:cs="Times New Roman" w:eastAsia="Times New Roman" w:hAnsi="Times New Roman"/>
          <w:sz w:val="18"/>
          <w:szCs w:val="18"/>
          <w:u w:val="single" w:color="auto"/>
          <w:color w:val="0000FF"/>
        </w:rPr>
        <w:t xml:space="preserve"> </w:t>
      </w:r>
      <w:hyperlink r:id="rId38">
        <w:r>
          <w:rPr>
            <w:rFonts w:ascii="Times New Roman" w:cs="Times New Roman" w:eastAsia="Times New Roman" w:hAnsi="Times New Roman"/>
            <w:sz w:val="18"/>
            <w:szCs w:val="18"/>
            <w:u w:val="single" w:color="auto"/>
            <w:color w:val="0000FF"/>
          </w:rPr>
          <w:t>Vail Resorts, Inc. for the year ended July 31, 2005)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308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1180" w:right="40" w:hanging="911"/>
        <w:spacing w:after="0" w:line="281" w:lineRule="auto"/>
        <w:tabs>
          <w:tab w:leader="none" w:pos="11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10.2(e)</w:t>
      </w:r>
      <w:r>
        <w:rPr>
          <w:sz w:val="20"/>
          <w:szCs w:val="20"/>
          <w:color w:val="auto"/>
        </w:rPr>
        <w:tab/>
      </w:r>
      <w:hyperlink r:id="rId40">
        <w:r>
          <w:rPr>
            <w:rFonts w:ascii="Times New Roman" w:cs="Times New Roman" w:eastAsia="Times New Roman" w:hAnsi="Times New Roman"/>
            <w:sz w:val="18"/>
            <w:szCs w:val="18"/>
            <w:u w:val="single" w:color="auto"/>
            <w:color w:val="0000FF"/>
          </w:rPr>
          <w:t>Amendment No. 5 to Forest Service Unified Permit for Keystone ski area. (Incorporated by reference to Exhibit 10.3 (e) on Form 10-K of</w:t>
        </w:r>
      </w:hyperlink>
      <w:r>
        <w:rPr>
          <w:rFonts w:ascii="Times New Roman" w:cs="Times New Roman" w:eastAsia="Times New Roman" w:hAnsi="Times New Roman"/>
          <w:sz w:val="18"/>
          <w:szCs w:val="18"/>
          <w:u w:val="single" w:color="auto"/>
          <w:color w:val="0000FF"/>
        </w:rPr>
        <w:t xml:space="preserve"> </w:t>
      </w:r>
      <w:hyperlink r:id="rId40">
        <w:r>
          <w:rPr>
            <w:rFonts w:ascii="Times New Roman" w:cs="Times New Roman" w:eastAsia="Times New Roman" w:hAnsi="Times New Roman"/>
            <w:sz w:val="18"/>
            <w:szCs w:val="18"/>
            <w:u w:val="single" w:color="auto"/>
            <w:color w:val="0000FF"/>
          </w:rPr>
          <w:t>Vail Resorts, Inc. for the year ended July 31, 2005) (File No. 001-09614).</w:t>
        </w:r>
      </w:hyperlink>
    </w:p>
    <w:p>
      <w:pPr>
        <w:spacing w:after="0" w:line="2" w:lineRule="exact"/>
        <w:rPr>
          <w:sz w:val="20"/>
          <w:szCs w:val="20"/>
          <w:color w:val="auto"/>
        </w:rPr>
      </w:pPr>
    </w:p>
    <w:p>
      <w:pPr>
        <w:ind w:left="280"/>
        <w:spacing w:after="0"/>
        <w:tabs>
          <w:tab w:leader="none" w:pos="11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10.3(a)</w:t>
      </w:r>
      <w:r>
        <w:rPr>
          <w:sz w:val="20"/>
          <w:szCs w:val="20"/>
          <w:color w:val="auto"/>
        </w:rPr>
        <w:tab/>
      </w:r>
      <w:hyperlink r:id="rId41">
        <w:r>
          <w:rPr>
            <w:rFonts w:ascii="Times New Roman" w:cs="Times New Roman" w:eastAsia="Times New Roman" w:hAnsi="Times New Roman"/>
            <w:sz w:val="18"/>
            <w:szCs w:val="18"/>
            <w:u w:val="single" w:color="auto"/>
            <w:color w:val="0000FF"/>
          </w:rPr>
          <w:t>Forest Service Unified Permit for Breckenridge ski area, dated December 31, 1996. (Incorporated by reference to Exhibit 99.3(a) on Form</w:t>
        </w:r>
      </w:hyperlink>
    </w:p>
    <w:p>
      <w:pPr>
        <w:spacing w:after="0" w:line="27" w:lineRule="exact"/>
        <w:rPr>
          <w:sz w:val="20"/>
          <w:szCs w:val="20"/>
          <w:color w:val="auto"/>
        </w:rPr>
      </w:pPr>
    </w:p>
    <w:p>
      <w:pPr>
        <w:ind w:left="1180"/>
        <w:spacing w:after="0"/>
        <w:rPr>
          <w:rFonts w:ascii="Times New Roman" w:cs="Times New Roman" w:eastAsia="Times New Roman" w:hAnsi="Times New Roman"/>
          <w:sz w:val="18"/>
          <w:szCs w:val="18"/>
          <w:u w:val="single" w:color="auto"/>
          <w:color w:val="0000FF"/>
        </w:rPr>
      </w:pPr>
      <w:hyperlink r:id="rId41">
        <w:r>
          <w:rPr>
            <w:rFonts w:ascii="Times New Roman" w:cs="Times New Roman" w:eastAsia="Times New Roman" w:hAnsi="Times New Roman"/>
            <w:sz w:val="18"/>
            <w:szCs w:val="18"/>
            <w:u w:val="single" w:color="auto"/>
            <w:color w:val="0000FF"/>
          </w:rPr>
          <w:t>10-Q of Vail Resorts, Inc. for the quarter ended October 31, 2002) (File No. 001-09614).</w:t>
        </w:r>
      </w:hyperlink>
    </w:p>
    <w:p>
      <w:pPr>
        <w:spacing w:after="0" w:line="45" w:lineRule="exact"/>
        <w:rPr>
          <w:sz w:val="20"/>
          <w:szCs w:val="20"/>
          <w:color w:val="auto"/>
        </w:rPr>
      </w:pPr>
    </w:p>
    <w:p>
      <w:pPr>
        <w:ind w:left="1180" w:right="40" w:hanging="917"/>
        <w:spacing w:after="0" w:line="282" w:lineRule="auto"/>
        <w:tabs>
          <w:tab w:leader="none" w:pos="11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10.3(b)</w:t>
      </w:r>
      <w:r>
        <w:rPr>
          <w:sz w:val="20"/>
          <w:szCs w:val="20"/>
          <w:color w:val="auto"/>
        </w:rPr>
        <w:tab/>
      </w:r>
      <w:hyperlink r:id="rId42">
        <w:r>
          <w:rPr>
            <w:rFonts w:ascii="Times New Roman" w:cs="Times New Roman" w:eastAsia="Times New Roman" w:hAnsi="Times New Roman"/>
            <w:sz w:val="18"/>
            <w:szCs w:val="18"/>
            <w:u w:val="single" w:color="auto"/>
            <w:color w:val="0000FF"/>
          </w:rPr>
          <w:t>Amendment No. 1 to Forest Service Unified Permit for Breckenridge ski area. (Incorporated by reference to Exhibit 99.3(b) on Form 10-Q of</w:t>
        </w:r>
      </w:hyperlink>
      <w:r>
        <w:rPr>
          <w:rFonts w:ascii="Times New Roman" w:cs="Times New Roman" w:eastAsia="Times New Roman" w:hAnsi="Times New Roman"/>
          <w:sz w:val="18"/>
          <w:szCs w:val="18"/>
          <w:u w:val="single" w:color="auto"/>
          <w:color w:val="0000FF"/>
        </w:rPr>
        <w:t xml:space="preserve"> </w:t>
      </w:r>
      <w:hyperlink r:id="rId42">
        <w:r>
          <w:rPr>
            <w:rFonts w:ascii="Times New Roman" w:cs="Times New Roman" w:eastAsia="Times New Roman" w:hAnsi="Times New Roman"/>
            <w:sz w:val="18"/>
            <w:szCs w:val="18"/>
            <w:u w:val="single" w:color="auto"/>
            <w:color w:val="0000FF"/>
          </w:rPr>
          <w:t>Vail Resorts, Inc. for the quarter ended October 31, 2002) (File No. 001-09614).</w:t>
        </w:r>
      </w:hyperlink>
    </w:p>
    <w:p>
      <w:pPr>
        <w:sectPr>
          <w:pgSz w:w="11900" w:h="16838" w:orient="portrait"/>
          <w:cols w:equalWidth="0" w:num="1">
            <w:col w:w="11420"/>
          </w:cols>
          <w:pgMar w:left="240" w:top="1440"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20"/>
          </w:cols>
          <w:pgMar w:left="240" w:top="1440" w:right="239" w:bottom="1440" w:gutter="0" w:footer="0" w:header="0"/>
          <w:type w:val="continuous"/>
        </w:sectPr>
      </w:pPr>
    </w:p>
    <w:bookmarkStart w:id="100" w:name="page101"/>
    <w:bookmarkEnd w:id="100"/>
    <w:p>
      <w:pPr>
        <w:ind w:left="100"/>
        <w:spacing w:after="0"/>
        <w:rPr>
          <w:sz w:val="20"/>
          <w:szCs w:val="20"/>
          <w:color w:val="auto"/>
        </w:rPr>
      </w:pPr>
      <w:r>
        <w:rPr>
          <w:rFonts w:ascii="Times New Roman" w:cs="Times New Roman" w:eastAsia="Times New Roman" w:hAnsi="Times New Roman"/>
          <w:sz w:val="18"/>
          <w:szCs w:val="18"/>
          <w:b w:val="1"/>
          <w:bCs w:val="1"/>
          <w:color w:val="auto"/>
        </w:rPr>
        <w:t>Posted</w:t>
      </w:r>
    </w:p>
    <w:p>
      <w:pPr>
        <w:spacing w:after="0" w:line="31" w:lineRule="exact"/>
        <w:rPr>
          <w:sz w:val="20"/>
          <w:szCs w:val="20"/>
          <w:color w:val="auto"/>
        </w:rPr>
      </w:pPr>
    </w:p>
    <w:p>
      <w:pPr>
        <w:ind w:left="60"/>
        <w:spacing w:after="0"/>
        <w:tabs>
          <w:tab w:leader="none" w:pos="564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22860</wp:posOffset>
            </wp:positionV>
            <wp:extent cx="7246620"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5" w:lineRule="exact"/>
        <w:rPr>
          <w:sz w:val="20"/>
          <w:szCs w:val="20"/>
          <w:color w:val="auto"/>
        </w:rPr>
      </w:pPr>
    </w:p>
    <w:p>
      <w:pPr>
        <w:ind w:left="1000" w:right="20" w:hanging="911"/>
        <w:spacing w:after="0" w:line="281"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10.3(c)</w:t>
      </w:r>
      <w:r>
        <w:rPr>
          <w:sz w:val="20"/>
          <w:szCs w:val="20"/>
          <w:color w:val="auto"/>
        </w:rPr>
        <w:tab/>
      </w:r>
      <w:hyperlink r:id="rId44">
        <w:r>
          <w:rPr>
            <w:rFonts w:ascii="Times New Roman" w:cs="Times New Roman" w:eastAsia="Times New Roman" w:hAnsi="Times New Roman"/>
            <w:sz w:val="18"/>
            <w:szCs w:val="18"/>
            <w:u w:val="single" w:color="auto"/>
            <w:color w:val="0000FF"/>
          </w:rPr>
          <w:t>Amendment No. 2 to Forest Service Unified Permit for Breckenridge ski area. (Incorporated by reference to Exhibit 10.4 (c) on Form 10-K</w:t>
        </w:r>
      </w:hyperlink>
      <w:r>
        <w:rPr>
          <w:rFonts w:ascii="Times New Roman" w:cs="Times New Roman" w:eastAsia="Times New Roman" w:hAnsi="Times New Roman"/>
          <w:sz w:val="18"/>
          <w:szCs w:val="18"/>
          <w:u w:val="single" w:color="auto"/>
          <w:color w:val="0000FF"/>
        </w:rPr>
        <w:t xml:space="preserve"> </w:t>
      </w:r>
      <w:hyperlink r:id="rId44">
        <w:r>
          <w:rPr>
            <w:rFonts w:ascii="Times New Roman" w:cs="Times New Roman" w:eastAsia="Times New Roman" w:hAnsi="Times New Roman"/>
            <w:sz w:val="18"/>
            <w:szCs w:val="18"/>
            <w:u w:val="single" w:color="auto"/>
            <w:color w:val="0000FF"/>
          </w:rPr>
          <w:t>of Vail Resorts, Inc. for the year ended July 31, 2005) (File No. 001-09614).</w:t>
        </w:r>
      </w:hyperlink>
    </w:p>
    <w:p>
      <w:pPr>
        <w:spacing w:after="0" w:line="2" w:lineRule="exact"/>
        <w:rPr>
          <w:sz w:val="20"/>
          <w:szCs w:val="20"/>
          <w:color w:val="auto"/>
        </w:rPr>
      </w:pPr>
    </w:p>
    <w:p>
      <w:pPr>
        <w:ind w:left="1000" w:hanging="917"/>
        <w:spacing w:after="0" w:line="281"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10.3(d)</w:t>
      </w:r>
      <w:r>
        <w:rPr>
          <w:sz w:val="20"/>
          <w:szCs w:val="20"/>
          <w:color w:val="auto"/>
        </w:rPr>
        <w:tab/>
      </w:r>
      <w:hyperlink r:id="rId45">
        <w:r>
          <w:rPr>
            <w:rFonts w:ascii="Times New Roman" w:cs="Times New Roman" w:eastAsia="Times New Roman" w:hAnsi="Times New Roman"/>
            <w:sz w:val="18"/>
            <w:szCs w:val="18"/>
            <w:u w:val="single" w:color="auto"/>
            <w:color w:val="0000FF"/>
          </w:rPr>
          <w:t>Amendment No. 3 to Forest Service Unified Permit for Breckenridge ski area. (Incorporated by reference to Exhibit 10.4 (d) on Form 10-K</w:t>
        </w:r>
      </w:hyperlink>
      <w:r>
        <w:rPr>
          <w:rFonts w:ascii="Times New Roman" w:cs="Times New Roman" w:eastAsia="Times New Roman" w:hAnsi="Times New Roman"/>
          <w:sz w:val="18"/>
          <w:szCs w:val="18"/>
          <w:u w:val="single" w:color="auto"/>
          <w:color w:val="0000FF"/>
        </w:rPr>
        <w:t xml:space="preserve"> </w:t>
      </w:r>
      <w:hyperlink r:id="rId45">
        <w:r>
          <w:rPr>
            <w:rFonts w:ascii="Times New Roman" w:cs="Times New Roman" w:eastAsia="Times New Roman" w:hAnsi="Times New Roman"/>
            <w:sz w:val="18"/>
            <w:szCs w:val="18"/>
            <w:u w:val="single" w:color="auto"/>
            <w:color w:val="0000FF"/>
          </w:rPr>
          <w:t>of Vail Resorts, Inc. for the year ended July 31, 2005)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-3810</wp:posOffset>
            </wp:positionV>
            <wp:extent cx="7246620"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1000" w:right="20" w:hanging="911"/>
        <w:spacing w:after="0" w:line="281"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10.3(e)</w:t>
      </w:r>
      <w:r>
        <w:rPr>
          <w:sz w:val="20"/>
          <w:szCs w:val="20"/>
          <w:color w:val="auto"/>
        </w:rPr>
        <w:tab/>
      </w:r>
      <w:hyperlink r:id="rId47">
        <w:r>
          <w:rPr>
            <w:rFonts w:ascii="Times New Roman" w:cs="Times New Roman" w:eastAsia="Times New Roman" w:hAnsi="Times New Roman"/>
            <w:sz w:val="18"/>
            <w:szCs w:val="18"/>
            <w:u w:val="single" w:color="auto"/>
            <w:color w:val="0000FF"/>
          </w:rPr>
          <w:t>Amendment No. 4 to Forest Service Unified Permit for Breckenridge ski area. (Incorporated by reference to Exhibit 10.4 (e) on Form 10-K</w:t>
        </w:r>
      </w:hyperlink>
      <w:r>
        <w:rPr>
          <w:rFonts w:ascii="Times New Roman" w:cs="Times New Roman" w:eastAsia="Times New Roman" w:hAnsi="Times New Roman"/>
          <w:sz w:val="18"/>
          <w:szCs w:val="18"/>
          <w:u w:val="single" w:color="auto"/>
          <w:color w:val="0000FF"/>
        </w:rPr>
        <w:t xml:space="preserve"> </w:t>
      </w:r>
      <w:hyperlink r:id="rId47">
        <w:r>
          <w:rPr>
            <w:rFonts w:ascii="Times New Roman" w:cs="Times New Roman" w:eastAsia="Times New Roman" w:hAnsi="Times New Roman"/>
            <w:sz w:val="18"/>
            <w:szCs w:val="18"/>
            <w:u w:val="single" w:color="auto"/>
            <w:color w:val="0000FF"/>
          </w:rPr>
          <w:t>of Vail Resorts, Inc. for the year ended July 31, 2005) (File No. 001-09614).</w:t>
        </w:r>
      </w:hyperlink>
    </w:p>
    <w:p>
      <w:pPr>
        <w:spacing w:after="0" w:line="2" w:lineRule="exact"/>
        <w:rPr>
          <w:sz w:val="20"/>
          <w:szCs w:val="20"/>
          <w:color w:val="auto"/>
        </w:rPr>
      </w:pPr>
    </w:p>
    <w:p>
      <w:pPr>
        <w:ind w:left="1000" w:hanging="901"/>
        <w:spacing w:after="0" w:line="281"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10.3(f)</w:t>
      </w:r>
      <w:r>
        <w:rPr>
          <w:sz w:val="20"/>
          <w:szCs w:val="20"/>
          <w:color w:val="auto"/>
        </w:rPr>
        <w:tab/>
      </w:r>
      <w:hyperlink r:id="rId48">
        <w:r>
          <w:rPr>
            <w:rFonts w:ascii="Times New Roman" w:cs="Times New Roman" w:eastAsia="Times New Roman" w:hAnsi="Times New Roman"/>
            <w:sz w:val="18"/>
            <w:szCs w:val="18"/>
            <w:u w:val="single" w:color="auto"/>
            <w:color w:val="0000FF"/>
          </w:rPr>
          <w:t>Amendment No. 5 to Forest Service Unified Permit for Breckenridge ski area. (Incorporated by reference to Exhibit 10.4(f) on Form 10-Q of</w:t>
        </w:r>
      </w:hyperlink>
      <w:r>
        <w:rPr>
          <w:rFonts w:ascii="Times New Roman" w:cs="Times New Roman" w:eastAsia="Times New Roman" w:hAnsi="Times New Roman"/>
          <w:sz w:val="18"/>
          <w:szCs w:val="18"/>
          <w:u w:val="single" w:color="auto"/>
          <w:color w:val="0000FF"/>
        </w:rPr>
        <w:t xml:space="preserve"> </w:t>
      </w:r>
      <w:hyperlink r:id="rId48">
        <w:r>
          <w:rPr>
            <w:rFonts w:ascii="Times New Roman" w:cs="Times New Roman" w:eastAsia="Times New Roman" w:hAnsi="Times New Roman"/>
            <w:sz w:val="18"/>
            <w:szCs w:val="18"/>
            <w:u w:val="single" w:color="auto"/>
            <w:color w:val="0000FF"/>
          </w:rPr>
          <w:t>Vail Resorts, Inc. for the quarter ended January 31, 2006)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-3810</wp:posOffset>
            </wp:positionV>
            <wp:extent cx="7246620"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1000" w:right="20" w:hanging="911"/>
        <w:spacing w:after="0" w:line="281"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10.4(a)</w:t>
      </w:r>
      <w:r>
        <w:rPr>
          <w:sz w:val="20"/>
          <w:szCs w:val="20"/>
          <w:color w:val="auto"/>
        </w:rPr>
        <w:tab/>
      </w:r>
      <w:hyperlink r:id="rId50">
        <w:r>
          <w:rPr>
            <w:rFonts w:ascii="Times New Roman" w:cs="Times New Roman" w:eastAsia="Times New Roman" w:hAnsi="Times New Roman"/>
            <w:sz w:val="18"/>
            <w:szCs w:val="18"/>
            <w:u w:val="single" w:color="auto"/>
            <w:color w:val="0000FF"/>
          </w:rPr>
          <w:t>Forest Service Unified Permit for Beaver Creek ski area. (Incorporated by reference to Exhibit 99.4(a) on Form 10-Q of Vail Resorts, Inc. for</w:t>
        </w:r>
      </w:hyperlink>
      <w:r>
        <w:rPr>
          <w:rFonts w:ascii="Times New Roman" w:cs="Times New Roman" w:eastAsia="Times New Roman" w:hAnsi="Times New Roman"/>
          <w:sz w:val="18"/>
          <w:szCs w:val="18"/>
          <w:u w:val="single" w:color="auto"/>
          <w:color w:val="0000FF"/>
        </w:rPr>
        <w:t xml:space="preserve"> </w:t>
      </w:r>
      <w:hyperlink r:id="rId50">
        <w:r>
          <w:rPr>
            <w:rFonts w:ascii="Times New Roman" w:cs="Times New Roman" w:eastAsia="Times New Roman" w:hAnsi="Times New Roman"/>
            <w:sz w:val="18"/>
            <w:szCs w:val="18"/>
            <w:u w:val="single" w:color="auto"/>
            <w:color w:val="0000FF"/>
          </w:rPr>
          <w:t>the quarter ended October 31, 2002) (File No. 001-09614).</w:t>
        </w:r>
      </w:hyperlink>
    </w:p>
    <w:p>
      <w:pPr>
        <w:spacing w:after="0" w:line="2" w:lineRule="exact"/>
        <w:rPr>
          <w:sz w:val="20"/>
          <w:szCs w:val="20"/>
          <w:color w:val="auto"/>
        </w:rPr>
      </w:pPr>
    </w:p>
    <w:p>
      <w:pPr>
        <w:ind w:left="1000" w:right="20" w:hanging="917"/>
        <w:spacing w:after="0" w:line="281"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10.4(b)</w:t>
      </w:r>
      <w:r>
        <w:rPr>
          <w:sz w:val="20"/>
          <w:szCs w:val="20"/>
          <w:color w:val="auto"/>
        </w:rPr>
        <w:tab/>
      </w:r>
      <w:hyperlink r:id="rId51">
        <w:r>
          <w:rPr>
            <w:rFonts w:ascii="Times New Roman" w:cs="Times New Roman" w:eastAsia="Times New Roman" w:hAnsi="Times New Roman"/>
            <w:sz w:val="18"/>
            <w:szCs w:val="18"/>
            <w:u w:val="single" w:color="auto"/>
            <w:color w:val="0000FF"/>
          </w:rPr>
          <w:t>Exhibits to Forest Service Unified Permit for Beaver Creek ski area. (Incorporated by reference to Exhibit 99.4(b) on Form 10-Q of Vail</w:t>
        </w:r>
      </w:hyperlink>
      <w:r>
        <w:rPr>
          <w:rFonts w:ascii="Times New Roman" w:cs="Times New Roman" w:eastAsia="Times New Roman" w:hAnsi="Times New Roman"/>
          <w:sz w:val="18"/>
          <w:szCs w:val="18"/>
          <w:u w:val="single" w:color="auto"/>
          <w:color w:val="0000FF"/>
        </w:rPr>
        <w:t xml:space="preserve"> </w:t>
      </w:r>
      <w:hyperlink r:id="rId51">
        <w:r>
          <w:rPr>
            <w:rFonts w:ascii="Times New Roman" w:cs="Times New Roman" w:eastAsia="Times New Roman" w:hAnsi="Times New Roman"/>
            <w:sz w:val="18"/>
            <w:szCs w:val="18"/>
            <w:u w:val="single" w:color="auto"/>
            <w:color w:val="0000FF"/>
          </w:rPr>
          <w:t>Resorts, Inc. for the quarter ended October 31, 2002)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-3810</wp:posOffset>
            </wp:positionV>
            <wp:extent cx="7246620"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1000" w:right="20" w:hanging="911"/>
        <w:spacing w:after="0" w:line="281"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10.4(c)</w:t>
      </w:r>
      <w:r>
        <w:rPr>
          <w:sz w:val="20"/>
          <w:szCs w:val="20"/>
          <w:color w:val="auto"/>
        </w:rPr>
        <w:tab/>
      </w:r>
      <w:hyperlink r:id="rId53">
        <w:r>
          <w:rPr>
            <w:rFonts w:ascii="Times New Roman" w:cs="Times New Roman" w:eastAsia="Times New Roman" w:hAnsi="Times New Roman"/>
            <w:sz w:val="18"/>
            <w:szCs w:val="18"/>
            <w:u w:val="single" w:color="auto"/>
            <w:color w:val="0000FF"/>
          </w:rPr>
          <w:t>Amendment No. 1 to Forest Service Unified Permit for Beaver Creek ski area. (Incorporated by reference to Exhibit 10.5(c) on Form 10-K of</w:t>
        </w:r>
      </w:hyperlink>
      <w:r>
        <w:rPr>
          <w:rFonts w:ascii="Times New Roman" w:cs="Times New Roman" w:eastAsia="Times New Roman" w:hAnsi="Times New Roman"/>
          <w:sz w:val="18"/>
          <w:szCs w:val="18"/>
          <w:u w:val="single" w:color="auto"/>
          <w:color w:val="0000FF"/>
        </w:rPr>
        <w:t xml:space="preserve"> </w:t>
      </w:r>
      <w:hyperlink r:id="rId53">
        <w:r>
          <w:rPr>
            <w:rFonts w:ascii="Times New Roman" w:cs="Times New Roman" w:eastAsia="Times New Roman" w:hAnsi="Times New Roman"/>
            <w:sz w:val="18"/>
            <w:szCs w:val="18"/>
            <w:u w:val="single" w:color="auto"/>
            <w:color w:val="0000FF"/>
          </w:rPr>
          <w:t>Vail Resorts, Inc. for the year ended July 31, 2005) (File No. 001-09614).</w:t>
        </w:r>
      </w:hyperlink>
    </w:p>
    <w:p>
      <w:pPr>
        <w:spacing w:after="0" w:line="2" w:lineRule="exact"/>
        <w:rPr>
          <w:sz w:val="20"/>
          <w:szCs w:val="20"/>
          <w:color w:val="auto"/>
        </w:rPr>
      </w:pPr>
    </w:p>
    <w:p>
      <w:pPr>
        <w:ind w:left="1000" w:right="20" w:hanging="917"/>
        <w:spacing w:after="0" w:line="281"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10.4(d)</w:t>
      </w:r>
      <w:r>
        <w:rPr>
          <w:sz w:val="20"/>
          <w:szCs w:val="20"/>
          <w:color w:val="auto"/>
        </w:rPr>
        <w:tab/>
      </w:r>
      <w:hyperlink r:id="rId54">
        <w:r>
          <w:rPr>
            <w:rFonts w:ascii="Times New Roman" w:cs="Times New Roman" w:eastAsia="Times New Roman" w:hAnsi="Times New Roman"/>
            <w:sz w:val="18"/>
            <w:szCs w:val="18"/>
            <w:u w:val="single" w:color="auto"/>
            <w:color w:val="0000FF"/>
          </w:rPr>
          <w:t>Amendment No. 2 to Forest Service Unified Permit for Beaver Creek ski area. (Incorporated by reference to Exhibit 10.5(d) on Form 10-K</w:t>
        </w:r>
      </w:hyperlink>
      <w:r>
        <w:rPr>
          <w:rFonts w:ascii="Times New Roman" w:cs="Times New Roman" w:eastAsia="Times New Roman" w:hAnsi="Times New Roman"/>
          <w:sz w:val="18"/>
          <w:szCs w:val="18"/>
          <w:u w:val="single" w:color="auto"/>
          <w:color w:val="0000FF"/>
        </w:rPr>
        <w:t xml:space="preserve"> </w:t>
      </w:r>
      <w:hyperlink r:id="rId54">
        <w:r>
          <w:rPr>
            <w:rFonts w:ascii="Times New Roman" w:cs="Times New Roman" w:eastAsia="Times New Roman" w:hAnsi="Times New Roman"/>
            <w:sz w:val="18"/>
            <w:szCs w:val="18"/>
            <w:u w:val="single" w:color="auto"/>
            <w:color w:val="0000FF"/>
          </w:rPr>
          <w:t>of Vail Resorts, Inc. for the year ended July 31, 2005)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-3810</wp:posOffset>
            </wp:positionV>
            <wp:extent cx="7246620" cy="308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1000" w:right="20" w:hanging="911"/>
        <w:spacing w:after="0" w:line="281"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10.4(e)</w:t>
      </w:r>
      <w:r>
        <w:rPr>
          <w:sz w:val="20"/>
          <w:szCs w:val="20"/>
          <w:color w:val="auto"/>
        </w:rPr>
        <w:tab/>
      </w:r>
      <w:hyperlink r:id="rId56">
        <w:r>
          <w:rPr>
            <w:rFonts w:ascii="Times New Roman" w:cs="Times New Roman" w:eastAsia="Times New Roman" w:hAnsi="Times New Roman"/>
            <w:sz w:val="18"/>
            <w:szCs w:val="18"/>
            <w:u w:val="single" w:color="auto"/>
            <w:color w:val="0000FF"/>
          </w:rPr>
          <w:t>Amendment to Forest Service Unified Permit for Beaver Creek ski area. (Incorporated by reference to Exhibit 10.5(e) on Form 10-K of Vail</w:t>
        </w:r>
      </w:hyperlink>
      <w:r>
        <w:rPr>
          <w:rFonts w:ascii="Times New Roman" w:cs="Times New Roman" w:eastAsia="Times New Roman" w:hAnsi="Times New Roman"/>
          <w:sz w:val="18"/>
          <w:szCs w:val="18"/>
          <w:u w:val="single" w:color="auto"/>
          <w:color w:val="0000FF"/>
        </w:rPr>
        <w:t xml:space="preserve"> </w:t>
      </w:r>
      <w:hyperlink r:id="rId56">
        <w:r>
          <w:rPr>
            <w:rFonts w:ascii="Times New Roman" w:cs="Times New Roman" w:eastAsia="Times New Roman" w:hAnsi="Times New Roman"/>
            <w:sz w:val="18"/>
            <w:szCs w:val="18"/>
            <w:u w:val="single" w:color="auto"/>
            <w:color w:val="0000FF"/>
          </w:rPr>
          <w:t>Resorts, Inc. for the year ended July 31, 2005) (File No. 001-09614).</w:t>
        </w:r>
      </w:hyperlink>
    </w:p>
    <w:p>
      <w:pPr>
        <w:spacing w:after="0" w:line="2" w:lineRule="exact"/>
        <w:rPr>
          <w:sz w:val="20"/>
          <w:szCs w:val="20"/>
          <w:color w:val="auto"/>
        </w:rPr>
      </w:pPr>
    </w:p>
    <w:p>
      <w:pPr>
        <w:ind w:left="1000" w:hanging="901"/>
        <w:spacing w:after="0" w:line="281"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10.4(f)</w:t>
      </w:r>
      <w:r>
        <w:rPr>
          <w:sz w:val="20"/>
          <w:szCs w:val="20"/>
          <w:color w:val="auto"/>
        </w:rPr>
        <w:tab/>
      </w:r>
      <w:hyperlink r:id="rId57">
        <w:r>
          <w:rPr>
            <w:rFonts w:ascii="Times New Roman" w:cs="Times New Roman" w:eastAsia="Times New Roman" w:hAnsi="Times New Roman"/>
            <w:sz w:val="18"/>
            <w:szCs w:val="18"/>
            <w:u w:val="single" w:color="auto"/>
            <w:color w:val="0000FF"/>
          </w:rPr>
          <w:t>Amendment No. 3 to Forest Service Unified Permit for Beaver Creek ski area. (Incorporated by reference to Exhibit 10.4(f) on Form 10-K of</w:t>
        </w:r>
      </w:hyperlink>
      <w:r>
        <w:rPr>
          <w:rFonts w:ascii="Times New Roman" w:cs="Times New Roman" w:eastAsia="Times New Roman" w:hAnsi="Times New Roman"/>
          <w:sz w:val="18"/>
          <w:szCs w:val="18"/>
          <w:u w:val="single" w:color="auto"/>
          <w:color w:val="0000FF"/>
        </w:rPr>
        <w:t xml:space="preserve"> </w:t>
      </w:r>
      <w:hyperlink r:id="rId57">
        <w:r>
          <w:rPr>
            <w:rFonts w:ascii="Times New Roman" w:cs="Times New Roman" w:eastAsia="Times New Roman" w:hAnsi="Times New Roman"/>
            <w:sz w:val="18"/>
            <w:szCs w:val="18"/>
            <w:u w:val="single" w:color="auto"/>
            <w:color w:val="0000FF"/>
          </w:rPr>
          <w:t>Vail Resorts, Inc. for the year ended July 31, 2008)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-3810</wp:posOffset>
            </wp:positionV>
            <wp:extent cx="7246620" cy="308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1000" w:right="20" w:hanging="911"/>
        <w:spacing w:after="0" w:line="281"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10.5(a)</w:t>
      </w:r>
      <w:r>
        <w:rPr>
          <w:sz w:val="20"/>
          <w:szCs w:val="20"/>
          <w:color w:val="auto"/>
        </w:rPr>
        <w:tab/>
      </w:r>
      <w:hyperlink r:id="rId59">
        <w:r>
          <w:rPr>
            <w:rFonts w:ascii="Times New Roman" w:cs="Times New Roman" w:eastAsia="Times New Roman" w:hAnsi="Times New Roman"/>
            <w:sz w:val="18"/>
            <w:szCs w:val="18"/>
            <w:u w:val="single" w:color="auto"/>
            <w:color w:val="0000FF"/>
          </w:rPr>
          <w:t>Forest Service Unified Permit for Vail ski area, dated November 23, 1993. (Incorporated by reference to Exhibit 99.5(a) on Form 10-Q of</w:t>
        </w:r>
      </w:hyperlink>
      <w:r>
        <w:rPr>
          <w:rFonts w:ascii="Times New Roman" w:cs="Times New Roman" w:eastAsia="Times New Roman" w:hAnsi="Times New Roman"/>
          <w:sz w:val="18"/>
          <w:szCs w:val="18"/>
          <w:u w:val="single" w:color="auto"/>
          <w:color w:val="0000FF"/>
        </w:rPr>
        <w:t xml:space="preserve"> </w:t>
      </w:r>
      <w:hyperlink r:id="rId59">
        <w:r>
          <w:rPr>
            <w:rFonts w:ascii="Times New Roman" w:cs="Times New Roman" w:eastAsia="Times New Roman" w:hAnsi="Times New Roman"/>
            <w:sz w:val="18"/>
            <w:szCs w:val="18"/>
            <w:u w:val="single" w:color="auto"/>
            <w:color w:val="0000FF"/>
          </w:rPr>
          <w:t>Vail Resorts, Inc. for the quarter ended October 31, 2002) (File No. 001-09614).</w:t>
        </w:r>
      </w:hyperlink>
    </w:p>
    <w:p>
      <w:pPr>
        <w:spacing w:after="0" w:line="1" w:lineRule="exact"/>
        <w:rPr>
          <w:sz w:val="20"/>
          <w:szCs w:val="20"/>
          <w:color w:val="auto"/>
        </w:rPr>
      </w:pPr>
    </w:p>
    <w:p>
      <w:pPr>
        <w:ind w:left="80"/>
        <w:spacing w:after="0"/>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10.5(b)</w:t>
      </w:r>
      <w:r>
        <w:rPr>
          <w:sz w:val="20"/>
          <w:szCs w:val="20"/>
          <w:color w:val="auto"/>
        </w:rPr>
        <w:tab/>
      </w:r>
      <w:hyperlink r:id="rId60">
        <w:r>
          <w:rPr>
            <w:rFonts w:ascii="Times New Roman" w:cs="Times New Roman" w:eastAsia="Times New Roman" w:hAnsi="Times New Roman"/>
            <w:sz w:val="18"/>
            <w:szCs w:val="18"/>
            <w:u w:val="single" w:color="auto"/>
            <w:color w:val="0000FF"/>
          </w:rPr>
          <w:t>Exhibits to Forest Service Unified Permit for Vail ski area. (Incorporated by reference to Exhibit 99.5(b) on Form 10-Q of Vail Resorts, Inc.</w:t>
        </w:r>
      </w:hyperlink>
    </w:p>
    <w:p>
      <w:pPr>
        <w:spacing w:after="0" w:line="27" w:lineRule="exact"/>
        <w:rPr>
          <w:sz w:val="20"/>
          <w:szCs w:val="20"/>
          <w:color w:val="auto"/>
        </w:rPr>
      </w:pPr>
    </w:p>
    <w:p>
      <w:pPr>
        <w:ind w:left="1000"/>
        <w:spacing w:after="0"/>
        <w:rPr>
          <w:rFonts w:ascii="Times New Roman" w:cs="Times New Roman" w:eastAsia="Times New Roman" w:hAnsi="Times New Roman"/>
          <w:sz w:val="18"/>
          <w:szCs w:val="18"/>
          <w:u w:val="single" w:color="auto"/>
          <w:color w:val="0000FF"/>
        </w:rPr>
      </w:pPr>
      <w:hyperlink r:id="rId60">
        <w:r>
          <w:rPr>
            <w:rFonts w:ascii="Times New Roman" w:cs="Times New Roman" w:eastAsia="Times New Roman" w:hAnsi="Times New Roman"/>
            <w:sz w:val="18"/>
            <w:szCs w:val="18"/>
            <w:u w:val="single" w:color="auto"/>
            <w:color w:val="0000FF"/>
          </w:rPr>
          <w:t>for the quarter ended October 31, 2002)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22860</wp:posOffset>
            </wp:positionV>
            <wp:extent cx="7246620" cy="308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5" w:lineRule="exact"/>
        <w:rPr>
          <w:sz w:val="20"/>
          <w:szCs w:val="20"/>
          <w:color w:val="auto"/>
        </w:rPr>
      </w:pPr>
    </w:p>
    <w:p>
      <w:pPr>
        <w:ind w:left="1000" w:right="20" w:hanging="911"/>
        <w:spacing w:after="0" w:line="281"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10.5(c)</w:t>
      </w:r>
      <w:r>
        <w:rPr>
          <w:sz w:val="20"/>
          <w:szCs w:val="20"/>
          <w:color w:val="auto"/>
        </w:rPr>
        <w:tab/>
      </w:r>
      <w:hyperlink r:id="rId62">
        <w:r>
          <w:rPr>
            <w:rFonts w:ascii="Times New Roman" w:cs="Times New Roman" w:eastAsia="Times New Roman" w:hAnsi="Times New Roman"/>
            <w:sz w:val="18"/>
            <w:szCs w:val="18"/>
            <w:u w:val="single" w:color="auto"/>
            <w:color w:val="0000FF"/>
          </w:rPr>
          <w:t>Amendment No. 2 to Forest Service Unified Permit for Vail ski area. (Incorporated by reference to Exhibit 99.5(c) on Form 10-Q of Vail</w:t>
        </w:r>
      </w:hyperlink>
      <w:r>
        <w:rPr>
          <w:rFonts w:ascii="Times New Roman" w:cs="Times New Roman" w:eastAsia="Times New Roman" w:hAnsi="Times New Roman"/>
          <w:sz w:val="18"/>
          <w:szCs w:val="18"/>
          <w:u w:val="single" w:color="auto"/>
          <w:color w:val="0000FF"/>
        </w:rPr>
        <w:t xml:space="preserve"> </w:t>
      </w:r>
      <w:hyperlink r:id="rId62">
        <w:r>
          <w:rPr>
            <w:rFonts w:ascii="Times New Roman" w:cs="Times New Roman" w:eastAsia="Times New Roman" w:hAnsi="Times New Roman"/>
            <w:sz w:val="18"/>
            <w:szCs w:val="18"/>
            <w:u w:val="single" w:color="auto"/>
            <w:color w:val="0000FF"/>
          </w:rPr>
          <w:t>Resorts, Inc. for the quarter ended October 31, 2002) (File No. 001-09614).</w:t>
        </w:r>
      </w:hyperlink>
    </w:p>
    <w:p>
      <w:pPr>
        <w:spacing w:after="0" w:line="2" w:lineRule="exact"/>
        <w:rPr>
          <w:sz w:val="20"/>
          <w:szCs w:val="20"/>
          <w:color w:val="auto"/>
        </w:rPr>
      </w:pPr>
    </w:p>
    <w:p>
      <w:pPr>
        <w:ind w:left="1000" w:hanging="917"/>
        <w:spacing w:after="0" w:line="281"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10.5(d)</w:t>
      </w:r>
      <w:r>
        <w:rPr>
          <w:sz w:val="20"/>
          <w:szCs w:val="20"/>
          <w:color w:val="auto"/>
        </w:rPr>
        <w:tab/>
      </w:r>
      <w:hyperlink r:id="rId63">
        <w:r>
          <w:rPr>
            <w:rFonts w:ascii="Times New Roman" w:cs="Times New Roman" w:eastAsia="Times New Roman" w:hAnsi="Times New Roman"/>
            <w:sz w:val="18"/>
            <w:szCs w:val="18"/>
            <w:u w:val="single" w:color="auto"/>
            <w:color w:val="0000FF"/>
          </w:rPr>
          <w:t>Amendment No. 3 to Forest Service Unified Permit for Vail ski area. (Incorporated by reference to Exhibit 10.6 (d) on Form 10-K of Vail</w:t>
        </w:r>
      </w:hyperlink>
      <w:r>
        <w:rPr>
          <w:rFonts w:ascii="Times New Roman" w:cs="Times New Roman" w:eastAsia="Times New Roman" w:hAnsi="Times New Roman"/>
          <w:sz w:val="18"/>
          <w:szCs w:val="18"/>
          <w:u w:val="single" w:color="auto"/>
          <w:color w:val="0000FF"/>
        </w:rPr>
        <w:t xml:space="preserve"> </w:t>
      </w:r>
      <w:hyperlink r:id="rId63">
        <w:r>
          <w:rPr>
            <w:rFonts w:ascii="Times New Roman" w:cs="Times New Roman" w:eastAsia="Times New Roman" w:hAnsi="Times New Roman"/>
            <w:sz w:val="18"/>
            <w:szCs w:val="18"/>
            <w:u w:val="single" w:color="auto"/>
            <w:color w:val="0000FF"/>
          </w:rPr>
          <w:t>Resorts, Inc. for the year ended July 31, 2005)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-3810</wp:posOffset>
            </wp:positionV>
            <wp:extent cx="7246620" cy="308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1000" w:right="20" w:hanging="911"/>
        <w:spacing w:after="0" w:line="281"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10.5(e)</w:t>
      </w:r>
      <w:r>
        <w:rPr>
          <w:sz w:val="20"/>
          <w:szCs w:val="20"/>
          <w:color w:val="auto"/>
        </w:rPr>
        <w:tab/>
      </w:r>
      <w:hyperlink r:id="rId65">
        <w:r>
          <w:rPr>
            <w:rFonts w:ascii="Times New Roman" w:cs="Times New Roman" w:eastAsia="Times New Roman" w:hAnsi="Times New Roman"/>
            <w:sz w:val="18"/>
            <w:szCs w:val="18"/>
            <w:u w:val="single" w:color="auto"/>
            <w:color w:val="0000FF"/>
          </w:rPr>
          <w:t>Amendment No. 4 to Forest Service Unified Permit for Vail ski area. (Incorporated by reference to Exhibit 10.6 (e) on Form 10-K of Vail</w:t>
        </w:r>
      </w:hyperlink>
      <w:r>
        <w:rPr>
          <w:rFonts w:ascii="Times New Roman" w:cs="Times New Roman" w:eastAsia="Times New Roman" w:hAnsi="Times New Roman"/>
          <w:sz w:val="18"/>
          <w:szCs w:val="18"/>
          <w:u w:val="single" w:color="auto"/>
          <w:color w:val="0000FF"/>
        </w:rPr>
        <w:t xml:space="preserve"> </w:t>
      </w:r>
      <w:hyperlink r:id="rId65">
        <w:r>
          <w:rPr>
            <w:rFonts w:ascii="Times New Roman" w:cs="Times New Roman" w:eastAsia="Times New Roman" w:hAnsi="Times New Roman"/>
            <w:sz w:val="18"/>
            <w:szCs w:val="18"/>
            <w:u w:val="single" w:color="auto"/>
            <w:color w:val="0000FF"/>
          </w:rPr>
          <w:t>Resorts, Inc. for the year ended July 31, 2005) (File No. 001-09614).</w:t>
        </w:r>
      </w:hyperlink>
    </w:p>
    <w:p>
      <w:pPr>
        <w:spacing w:after="0" w:line="2" w:lineRule="exact"/>
        <w:rPr>
          <w:sz w:val="20"/>
          <w:szCs w:val="20"/>
          <w:color w:val="auto"/>
        </w:rPr>
      </w:pPr>
    </w:p>
    <w:p>
      <w:pPr>
        <w:ind w:left="1000" w:right="20" w:hanging="857"/>
        <w:spacing w:after="0" w:line="281"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10.6*</w:t>
      </w:r>
      <w:r>
        <w:rPr>
          <w:sz w:val="20"/>
          <w:szCs w:val="20"/>
          <w:color w:val="auto"/>
        </w:rPr>
        <w:tab/>
      </w:r>
      <w:hyperlink r:id="rId66">
        <w:r>
          <w:rPr>
            <w:rFonts w:ascii="Times New Roman" w:cs="Times New Roman" w:eastAsia="Times New Roman" w:hAnsi="Times New Roman"/>
            <w:sz w:val="18"/>
            <w:szCs w:val="18"/>
            <w:u w:val="single" w:color="auto"/>
            <w:color w:val="0000FF"/>
          </w:rPr>
          <w:t>Vail Resorts, Inc. Amended and Restated 2002 Long Term Incentive and Share Award Plan. (Incorporated by reference to Exhibit 99.1 on</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Form 8-K of Vail Resorts, Inc. filed on December 10, 2009)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-3810</wp:posOffset>
            </wp:positionV>
            <wp:extent cx="7246620" cy="308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140"/>
        <w:spacing w:after="0"/>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68">
        <w:r>
          <w:rPr>
            <w:rFonts w:ascii="Times New Roman" w:cs="Times New Roman" w:eastAsia="Times New Roman" w:hAnsi="Times New Roman"/>
            <w:sz w:val="18"/>
            <w:szCs w:val="18"/>
            <w:u w:val="single" w:color="auto"/>
            <w:color w:val="0000FF"/>
          </w:rPr>
          <w:t>Form of Stock Option Agreement. (Incorporated by reference to Exhibit 10.20 of Form 10-K of Vail Resorts, Inc. for the year ended July 31,</w:t>
        </w:r>
      </w:hyperlink>
    </w:p>
    <w:p>
      <w:pPr>
        <w:spacing w:after="0" w:line="27" w:lineRule="exact"/>
        <w:rPr>
          <w:sz w:val="20"/>
          <w:szCs w:val="20"/>
          <w:color w:val="auto"/>
        </w:rPr>
      </w:pPr>
    </w:p>
    <w:p>
      <w:pPr>
        <w:ind w:left="1000"/>
        <w:spacing w:after="0"/>
        <w:rPr>
          <w:rFonts w:ascii="Times New Roman" w:cs="Times New Roman" w:eastAsia="Times New Roman" w:hAnsi="Times New Roman"/>
          <w:sz w:val="18"/>
          <w:szCs w:val="18"/>
          <w:u w:val="single" w:color="auto"/>
          <w:color w:val="0000FF"/>
        </w:rPr>
      </w:pPr>
      <w:hyperlink r:id="rId68">
        <w:r>
          <w:rPr>
            <w:rFonts w:ascii="Times New Roman" w:cs="Times New Roman" w:eastAsia="Times New Roman" w:hAnsi="Times New Roman"/>
            <w:sz w:val="18"/>
            <w:szCs w:val="18"/>
            <w:u w:val="single" w:color="auto"/>
            <w:color w:val="0000FF"/>
          </w:rPr>
          <w:t>2007) (File No. 001-09614).</w:t>
        </w:r>
      </w:hyperlink>
    </w:p>
    <w:p>
      <w:pPr>
        <w:spacing w:after="0" w:line="45" w:lineRule="exact"/>
        <w:rPr>
          <w:sz w:val="20"/>
          <w:szCs w:val="20"/>
          <w:color w:val="auto"/>
        </w:rPr>
      </w:pPr>
    </w:p>
    <w:p>
      <w:pPr>
        <w:ind w:left="140"/>
        <w:spacing w:after="0"/>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68">
        <w:r>
          <w:rPr>
            <w:rFonts w:ascii="Times New Roman" w:cs="Times New Roman" w:eastAsia="Times New Roman" w:hAnsi="Times New Roman"/>
            <w:sz w:val="18"/>
            <w:szCs w:val="18"/>
            <w:u w:val="single" w:color="auto"/>
            <w:color w:val="0000FF"/>
          </w:rPr>
          <w:t>Form of Restricted Share Unit Agreement. (Incorporated by reference to Exhibit 10.2 on Form 8-K of Vail Resorts, Inc. filed on December 7,</w:t>
        </w:r>
      </w:hyperlink>
    </w:p>
    <w:p>
      <w:pPr>
        <w:spacing w:after="0" w:line="27" w:lineRule="exact"/>
        <w:rPr>
          <w:sz w:val="20"/>
          <w:szCs w:val="20"/>
          <w:color w:val="auto"/>
        </w:rPr>
      </w:pPr>
    </w:p>
    <w:p>
      <w:pPr>
        <w:ind w:left="1000"/>
        <w:spacing w:after="0"/>
        <w:rPr>
          <w:rFonts w:ascii="Times New Roman" w:cs="Times New Roman" w:eastAsia="Times New Roman" w:hAnsi="Times New Roman"/>
          <w:sz w:val="18"/>
          <w:szCs w:val="18"/>
          <w:u w:val="single" w:color="auto"/>
          <w:color w:val="0000FF"/>
        </w:rPr>
      </w:pPr>
      <w:hyperlink r:id="rId68">
        <w:r>
          <w:rPr>
            <w:rFonts w:ascii="Times New Roman" w:cs="Times New Roman" w:eastAsia="Times New Roman" w:hAnsi="Times New Roman"/>
            <w:sz w:val="18"/>
            <w:szCs w:val="18"/>
            <w:u w:val="single" w:color="auto"/>
            <w:color w:val="0000FF"/>
          </w:rPr>
          <w:t>2015) (File Number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22860</wp:posOffset>
            </wp:positionV>
            <wp:extent cx="7246620" cy="308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5" w:lineRule="exact"/>
        <w:rPr>
          <w:sz w:val="20"/>
          <w:szCs w:val="20"/>
          <w:color w:val="auto"/>
        </w:rPr>
      </w:pPr>
    </w:p>
    <w:p>
      <w:pPr>
        <w:ind w:left="1000" w:right="20" w:hanging="857"/>
        <w:spacing w:after="0" w:line="281"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70">
        <w:r>
          <w:rPr>
            <w:rFonts w:ascii="Times New Roman" w:cs="Times New Roman" w:eastAsia="Times New Roman" w:hAnsi="Times New Roman"/>
            <w:sz w:val="18"/>
            <w:szCs w:val="18"/>
            <w:u w:val="single" w:color="auto"/>
            <w:color w:val="0000FF"/>
          </w:rPr>
          <w:t>Form of Share Appreciation Rights Agreement. (Incorporated by reference to Exhibit 10.3 on Form 8-K of Vail Resorts, Inc. filed on</w:t>
        </w:r>
      </w:hyperlink>
      <w:r>
        <w:rPr>
          <w:rFonts w:ascii="Times New Roman" w:cs="Times New Roman" w:eastAsia="Times New Roman" w:hAnsi="Times New Roman"/>
          <w:sz w:val="18"/>
          <w:szCs w:val="18"/>
          <w:u w:val="single" w:color="auto"/>
          <w:color w:val="0000FF"/>
        </w:rPr>
        <w:t xml:space="preserve"> </w:t>
      </w:r>
      <w:hyperlink r:id="rId70">
        <w:r>
          <w:rPr>
            <w:rFonts w:ascii="Times New Roman" w:cs="Times New Roman" w:eastAsia="Times New Roman" w:hAnsi="Times New Roman"/>
            <w:sz w:val="18"/>
            <w:szCs w:val="18"/>
            <w:u w:val="single" w:color="auto"/>
            <w:color w:val="0000FF"/>
          </w:rPr>
          <w:t>December 7, 2015) (File Number 001-09614)</w:t>
        </w:r>
      </w:hyperlink>
    </w:p>
    <w:p>
      <w:pPr>
        <w:spacing w:after="0" w:line="2" w:lineRule="exact"/>
        <w:rPr>
          <w:sz w:val="20"/>
          <w:szCs w:val="20"/>
          <w:color w:val="auto"/>
        </w:rPr>
      </w:pPr>
    </w:p>
    <w:p>
      <w:pPr>
        <w:ind w:left="1000" w:hanging="902"/>
        <w:spacing w:after="0" w:line="281"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71">
        <w:r>
          <w:rPr>
            <w:rFonts w:ascii="Times New Roman" w:cs="Times New Roman" w:eastAsia="Times New Roman" w:hAnsi="Times New Roman"/>
            <w:sz w:val="18"/>
            <w:szCs w:val="18"/>
            <w:u w:val="single" w:color="auto"/>
            <w:color w:val="0000FF"/>
          </w:rPr>
          <w:t>Vail Resorts Deferred Compensation Plan, effective as of January 1, 2005. (Incorporated by reference to Exhibit 10.22 on Form 10-K of Vail</w:t>
        </w:r>
      </w:hyperlink>
      <w:r>
        <w:rPr>
          <w:rFonts w:ascii="Times New Roman" w:cs="Times New Roman" w:eastAsia="Times New Roman" w:hAnsi="Times New Roman"/>
          <w:sz w:val="18"/>
          <w:szCs w:val="18"/>
          <w:u w:val="single" w:color="auto"/>
          <w:color w:val="0000FF"/>
        </w:rPr>
        <w:t xml:space="preserve"> </w:t>
      </w:r>
      <w:hyperlink r:id="rId71">
        <w:r>
          <w:rPr>
            <w:rFonts w:ascii="Times New Roman" w:cs="Times New Roman" w:eastAsia="Times New Roman" w:hAnsi="Times New Roman"/>
            <w:sz w:val="18"/>
            <w:szCs w:val="18"/>
            <w:u w:val="single" w:color="auto"/>
            <w:color w:val="0000FF"/>
          </w:rPr>
          <w:t>Resorts, Inc. for the year ended July 31, 2009)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-3810</wp:posOffset>
            </wp:positionV>
            <wp:extent cx="7246620" cy="4457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2">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10.11(a)*</w:t>
      </w:r>
      <w:r>
        <w:rPr>
          <w:sz w:val="20"/>
          <w:szCs w:val="20"/>
          <w:color w:val="auto"/>
        </w:rPr>
        <w:tab/>
      </w:r>
      <w:hyperlink r:id="rId73">
        <w:r>
          <w:rPr>
            <w:rFonts w:ascii="Times New Roman" w:cs="Times New Roman" w:eastAsia="Times New Roman" w:hAnsi="Times New Roman"/>
            <w:sz w:val="18"/>
            <w:szCs w:val="18"/>
            <w:u w:val="single" w:color="auto"/>
            <w:color w:val="0000FF"/>
          </w:rPr>
          <w:t>Executive Employment Agreement made and entered into October 15, 2008 by and between Vail Resorts, Inc. and Robert A. Katz.</w:t>
        </w:r>
      </w:hyperlink>
    </w:p>
    <w:p>
      <w:pPr>
        <w:spacing w:after="0" w:line="27" w:lineRule="exact"/>
        <w:rPr>
          <w:sz w:val="20"/>
          <w:szCs w:val="20"/>
          <w:color w:val="auto"/>
        </w:rPr>
      </w:pPr>
    </w:p>
    <w:p>
      <w:pPr>
        <w:ind w:left="1000"/>
        <w:spacing w:after="0"/>
        <w:rPr>
          <w:rFonts w:ascii="Times New Roman" w:cs="Times New Roman" w:eastAsia="Times New Roman" w:hAnsi="Times New Roman"/>
          <w:sz w:val="18"/>
          <w:szCs w:val="18"/>
          <w:u w:val="single" w:color="auto"/>
          <w:color w:val="0000FF"/>
        </w:rPr>
      </w:pPr>
      <w:hyperlink r:id="rId73">
        <w:r>
          <w:rPr>
            <w:rFonts w:ascii="Times New Roman" w:cs="Times New Roman" w:eastAsia="Times New Roman" w:hAnsi="Times New Roman"/>
            <w:sz w:val="18"/>
            <w:szCs w:val="18"/>
            <w:u w:val="single" w:color="auto"/>
            <w:color w:val="0000FF"/>
          </w:rPr>
          <w:t>(Incorporated by reference to Exhibit 10.1 of the report on Form 10-Q of Vail Resorts, Inc. for the quarter ended October 31, 2008) (File No.</w:t>
        </w:r>
      </w:hyperlink>
    </w:p>
    <w:p>
      <w:pPr>
        <w:spacing w:after="0" w:line="9" w:lineRule="exact"/>
        <w:rPr>
          <w:sz w:val="20"/>
          <w:szCs w:val="20"/>
          <w:color w:val="auto"/>
        </w:rPr>
      </w:pPr>
    </w:p>
    <w:p>
      <w:pPr>
        <w:ind w:left="1000"/>
        <w:spacing w:after="0"/>
        <w:rPr>
          <w:rFonts w:ascii="Times New Roman" w:cs="Times New Roman" w:eastAsia="Times New Roman" w:hAnsi="Times New Roman"/>
          <w:sz w:val="18"/>
          <w:szCs w:val="18"/>
          <w:u w:val="single" w:color="auto"/>
          <w:color w:val="0000FF"/>
        </w:rPr>
      </w:pPr>
      <w:hyperlink r:id="rId73">
        <w:r>
          <w:rPr>
            <w:rFonts w:ascii="Times New Roman" w:cs="Times New Roman" w:eastAsia="Times New Roman" w:hAnsi="Times New Roman"/>
            <w:sz w:val="18"/>
            <w:szCs w:val="18"/>
            <w:u w:val="single" w:color="auto"/>
            <w:color w:val="0000FF"/>
          </w:rPr>
          <w:t>001-09614).</w:t>
        </w:r>
      </w:hyperlink>
    </w:p>
    <w:p>
      <w:pPr>
        <w:spacing w:after="0" w:line="45" w:lineRule="exact"/>
        <w:rPr>
          <w:sz w:val="20"/>
          <w:szCs w:val="20"/>
          <w:color w:val="auto"/>
        </w:rPr>
      </w:pPr>
    </w:p>
    <w:p>
      <w:pPr>
        <w:jc w:val="both"/>
        <w:ind w:left="1000" w:right="20" w:hanging="1003"/>
        <w:spacing w:after="0" w:line="281"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10.11(b)*</w:t>
      </w:r>
      <w:r>
        <w:rPr>
          <w:sz w:val="20"/>
          <w:szCs w:val="20"/>
          <w:color w:val="auto"/>
        </w:rPr>
        <w:tab/>
      </w:r>
      <w:hyperlink r:id="rId74">
        <w:r>
          <w:rPr>
            <w:rFonts w:ascii="Times New Roman" w:cs="Times New Roman" w:eastAsia="Times New Roman" w:hAnsi="Times New Roman"/>
            <w:sz w:val="18"/>
            <w:szCs w:val="18"/>
            <w:u w:val="single" w:color="auto"/>
            <w:color w:val="0000FF"/>
          </w:rPr>
          <w:t>First Amendment to Executive Employment Agreement, dated September 30, 2011, by and between Vail Resorts, Inc. and Robert A. Katz</w:t>
        </w:r>
      </w:hyperlink>
      <w:r>
        <w:rPr>
          <w:rFonts w:ascii="Times New Roman" w:cs="Times New Roman" w:eastAsia="Times New Roman" w:hAnsi="Times New Roman"/>
          <w:sz w:val="18"/>
          <w:szCs w:val="18"/>
          <w:u w:val="single" w:color="auto"/>
          <w:color w:val="0000FF"/>
        </w:rPr>
        <w:t xml:space="preserve"> </w:t>
      </w:r>
      <w:hyperlink r:id="rId74">
        <w:r>
          <w:rPr>
            <w:rFonts w:ascii="Times New Roman" w:cs="Times New Roman" w:eastAsia="Times New Roman" w:hAnsi="Times New Roman"/>
            <w:sz w:val="18"/>
            <w:szCs w:val="18"/>
            <w:u w:val="single" w:color="auto"/>
            <w:color w:val="0000FF"/>
          </w:rPr>
          <w:t>(Incorporated by reference to Exhibit 10.1 on Form 8-K of Vail Resorts, Inc. filed September 30, 2011)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-3810</wp:posOffset>
            </wp:positionV>
            <wp:extent cx="7246620" cy="4457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5">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10.11(c)*</w:t>
      </w:r>
      <w:r>
        <w:rPr>
          <w:sz w:val="20"/>
          <w:szCs w:val="20"/>
          <w:color w:val="auto"/>
        </w:rPr>
        <w:tab/>
      </w:r>
      <w:hyperlink r:id="rId76">
        <w:r>
          <w:rPr>
            <w:rFonts w:ascii="Times New Roman" w:cs="Times New Roman" w:eastAsia="Times New Roman" w:hAnsi="Times New Roman"/>
            <w:sz w:val="18"/>
            <w:szCs w:val="18"/>
            <w:u w:val="single" w:color="auto"/>
            <w:color w:val="0000FF"/>
          </w:rPr>
          <w:t>Second Amendment to Executive Employment Agreement, dated April 11, 2013, by and between Vail Resorts, Inc. and Robert A. Katz.</w:t>
        </w:r>
      </w:hyperlink>
    </w:p>
    <w:p>
      <w:pPr>
        <w:spacing w:after="0" w:line="27" w:lineRule="exact"/>
        <w:rPr>
          <w:sz w:val="20"/>
          <w:szCs w:val="20"/>
          <w:color w:val="auto"/>
        </w:rPr>
      </w:pPr>
    </w:p>
    <w:p>
      <w:pPr>
        <w:ind w:left="1000"/>
        <w:spacing w:after="0"/>
        <w:rPr>
          <w:rFonts w:ascii="Times New Roman" w:cs="Times New Roman" w:eastAsia="Times New Roman" w:hAnsi="Times New Roman"/>
          <w:sz w:val="18"/>
          <w:szCs w:val="18"/>
          <w:u w:val="single" w:color="auto"/>
          <w:color w:val="0000FF"/>
        </w:rPr>
      </w:pPr>
      <w:hyperlink r:id="rId76">
        <w:r>
          <w:rPr>
            <w:rFonts w:ascii="Times New Roman" w:cs="Times New Roman" w:eastAsia="Times New Roman" w:hAnsi="Times New Roman"/>
            <w:sz w:val="18"/>
            <w:szCs w:val="18"/>
            <w:u w:val="single" w:color="auto"/>
            <w:color w:val="0000FF"/>
          </w:rPr>
          <w:t>(Incorporated by reference to Exhibit 10.1 on Form 10-Q of Vail Resorts, Inc. for the quarter ended April 30, 2013) (File No. 001-09614).</w:t>
        </w:r>
      </w:hyperlink>
    </w:p>
    <w:p>
      <w:pPr>
        <w:spacing w:after="0" w:line="261" w:lineRule="exact"/>
        <w:rPr>
          <w:sz w:val="20"/>
          <w:szCs w:val="20"/>
          <w:color w:val="auto"/>
        </w:rPr>
      </w:pPr>
    </w:p>
    <w:p>
      <w:pPr>
        <w:ind w:left="1000" w:hanging="902"/>
        <w:spacing w:after="0" w:line="281"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77">
        <w:r>
          <w:rPr>
            <w:rFonts w:ascii="Times New Roman" w:cs="Times New Roman" w:eastAsia="Times New Roman" w:hAnsi="Times New Roman"/>
            <w:sz w:val="18"/>
            <w:szCs w:val="18"/>
            <w:u w:val="single" w:color="auto"/>
            <w:color w:val="0000FF"/>
          </w:rPr>
          <w:t>Form of Indemnification Agreement. (Incorporated by reference to Exhibit 10.8 of the report on Form 10-Q of Vail Resorts, Inc. for the</w:t>
        </w:r>
      </w:hyperlink>
      <w:r>
        <w:rPr>
          <w:rFonts w:ascii="Times New Roman" w:cs="Times New Roman" w:eastAsia="Times New Roman" w:hAnsi="Times New Roman"/>
          <w:sz w:val="18"/>
          <w:szCs w:val="18"/>
          <w:u w:val="single" w:color="auto"/>
          <w:color w:val="0000FF"/>
        </w:rPr>
        <w:t xml:space="preserve"> </w:t>
      </w:r>
      <w:hyperlink r:id="rId77">
        <w:r>
          <w:rPr>
            <w:rFonts w:ascii="Times New Roman" w:cs="Times New Roman" w:eastAsia="Times New Roman" w:hAnsi="Times New Roman"/>
            <w:sz w:val="18"/>
            <w:szCs w:val="18"/>
            <w:u w:val="single" w:color="auto"/>
            <w:color w:val="0000FF"/>
          </w:rPr>
          <w:t>quarter ended October 31, 2008)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-3810</wp:posOffset>
            </wp:positionV>
            <wp:extent cx="7246620" cy="308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1000" w:right="20" w:hanging="857"/>
        <w:spacing w:after="0" w:line="282" w:lineRule="auto"/>
        <w:tabs>
          <w:tab w:leader="none" w:pos="9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79">
        <w:r>
          <w:rPr>
            <w:rFonts w:ascii="Times New Roman" w:cs="Times New Roman" w:eastAsia="Times New Roman" w:hAnsi="Times New Roman"/>
            <w:sz w:val="18"/>
            <w:szCs w:val="18"/>
            <w:u w:val="single" w:color="auto"/>
            <w:color w:val="0000FF"/>
          </w:rPr>
          <w:t>Master Agreement of Lease, dated May 29, 2013, between VR CPC Holdings, Inc. and Talisker Canyons Leaseco LLC. (Incorporated by</w:t>
        </w:r>
      </w:hyperlink>
      <w:r>
        <w:rPr>
          <w:rFonts w:ascii="Times New Roman" w:cs="Times New Roman" w:eastAsia="Times New Roman" w:hAnsi="Times New Roman"/>
          <w:sz w:val="18"/>
          <w:szCs w:val="18"/>
          <w:u w:val="single" w:color="auto"/>
          <w:color w:val="0000FF"/>
        </w:rPr>
        <w:t xml:space="preserve"> </w:t>
      </w:r>
      <w:hyperlink r:id="rId79">
        <w:r>
          <w:rPr>
            <w:rFonts w:ascii="Times New Roman" w:cs="Times New Roman" w:eastAsia="Times New Roman" w:hAnsi="Times New Roman"/>
            <w:sz w:val="18"/>
            <w:szCs w:val="18"/>
            <w:u w:val="single" w:color="auto"/>
            <w:color w:val="0000FF"/>
          </w:rPr>
          <w:t>reference to Exhibit 10.1 on Form 8-K of Vail Resorts, Inc. filed on May 30, 2013) (File No. 001-09614).</w:t>
        </w:r>
      </w:hyperlink>
    </w:p>
    <w:p>
      <w:pPr>
        <w:sectPr>
          <w:pgSz w:w="11900" w:h="16838" w:orient="portrait"/>
          <w:cols w:equalWidth="0" w:num="1">
            <w:col w:w="11220"/>
          </w:cols>
          <w:pgMar w:left="420" w:top="1171" w:right="259" w:bottom="1440" w:gutter="0" w:footer="0" w:header="0"/>
        </w:sectPr>
      </w:pPr>
    </w:p>
    <w:p>
      <w:pPr>
        <w:spacing w:after="0" w:line="21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20"/>
          </w:cols>
          <w:pgMar w:left="420" w:top="1171" w:right="259" w:bottom="1440" w:gutter="0" w:footer="0" w:header="0"/>
          <w:type w:val="continuous"/>
        </w:sectPr>
      </w:pPr>
    </w:p>
    <w:bookmarkStart w:id="101" w:name="page102"/>
    <w:bookmarkEnd w:id="101"/>
    <w:tbl>
      <w:tblPr>
        <w:tblLayout w:type="fixed"/>
        <w:tblInd w:w="200" w:type="dxa"/>
        <w:tblCellMar>
          <w:top w:w="0" w:type="dxa"/>
          <w:left w:w="0" w:type="dxa"/>
          <w:bottom w:w="0" w:type="dxa"/>
          <w:right w:w="0" w:type="dxa"/>
        </w:tblCellMar>
      </w:tblPr>
      <w:tr>
        <w:trPr>
          <w:trHeight w:val="216"/>
        </w:trPr>
        <w:tc>
          <w:tcPr>
            <w:tcW w:w="9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Posted</w:t>
            </w:r>
          </w:p>
        </w:tc>
        <w:tc>
          <w:tcPr>
            <w:tcW w:w="1200" w:type="dxa"/>
            <w:vAlign w:val="bottom"/>
          </w:tcPr>
          <w:p>
            <w:pPr>
              <w:spacing w:after="0"/>
              <w:rPr>
                <w:sz w:val="18"/>
                <w:szCs w:val="18"/>
                <w:color w:val="auto"/>
              </w:rPr>
            </w:pPr>
          </w:p>
        </w:tc>
        <w:tc>
          <w:tcPr>
            <w:tcW w:w="9000" w:type="dxa"/>
            <w:vAlign w:val="bottom"/>
          </w:tcPr>
          <w:p>
            <w:pPr>
              <w:spacing w:after="0"/>
              <w:rPr>
                <w:sz w:val="18"/>
                <w:szCs w:val="18"/>
                <w:color w:val="auto"/>
              </w:rPr>
            </w:pPr>
          </w:p>
        </w:tc>
      </w:tr>
      <w:tr>
        <w:trPr>
          <w:trHeight w:val="216"/>
        </w:trPr>
        <w:tc>
          <w:tcPr>
            <w:tcW w:w="9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0" w:type="dxa"/>
            <w:vAlign w:val="bottom"/>
          </w:tcPr>
          <w:p>
            <w:pPr>
              <w:spacing w:after="0"/>
              <w:rPr>
                <w:sz w:val="18"/>
                <w:szCs w:val="18"/>
                <w:color w:val="auto"/>
              </w:rPr>
            </w:pPr>
          </w:p>
        </w:tc>
        <w:tc>
          <w:tcPr>
            <w:tcW w:w="9000" w:type="dxa"/>
            <w:vAlign w:val="bottom"/>
          </w:tcPr>
          <w:p>
            <w:pPr>
              <w:ind w:left="34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8"/>
        </w:trPr>
        <w:tc>
          <w:tcPr>
            <w:tcW w:w="9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0" w:type="dxa"/>
            <w:vAlign w:val="bottom"/>
          </w:tcPr>
          <w:p>
            <w:pPr>
              <w:spacing w:after="0"/>
              <w:rPr>
                <w:sz w:val="20"/>
                <w:szCs w:val="20"/>
                <w:color w:val="auto"/>
              </w:rPr>
            </w:pPr>
          </w:p>
        </w:tc>
        <w:tc>
          <w:tcPr>
            <w:tcW w:w="9000" w:type="dxa"/>
            <w:vAlign w:val="bottom"/>
          </w:tcPr>
          <w:p>
            <w:pPr>
              <w:spacing w:after="0"/>
              <w:rPr>
                <w:sz w:val="20"/>
                <w:szCs w:val="20"/>
                <w:color w:val="auto"/>
              </w:rPr>
            </w:pPr>
          </w:p>
        </w:tc>
      </w:tr>
      <w:tr>
        <w:trPr>
          <w:trHeight w:val="257"/>
        </w:trPr>
        <w:tc>
          <w:tcPr>
            <w:tcW w:w="9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10.14</w:t>
            </w:r>
          </w:p>
        </w:tc>
        <w:tc>
          <w:tcPr>
            <w:tcW w:w="1020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Guaranty of Vail Resorts, Inc., dated May 29, 2013, in connection with the Master Agreement of Lease between VR CPC Holdings, Inc. and</w:t>
              </w:r>
            </w:hyperlink>
          </w:p>
        </w:tc>
      </w:tr>
      <w:tr>
        <w:trPr>
          <w:trHeight w:val="196"/>
        </w:trPr>
        <w:tc>
          <w:tcPr>
            <w:tcW w:w="980" w:type="dxa"/>
            <w:vAlign w:val="bottom"/>
          </w:tcPr>
          <w:p>
            <w:pPr>
              <w:spacing w:after="0"/>
              <w:rPr>
                <w:sz w:val="17"/>
                <w:szCs w:val="17"/>
                <w:color w:val="auto"/>
              </w:rPr>
            </w:pPr>
          </w:p>
        </w:tc>
        <w:tc>
          <w:tcPr>
            <w:tcW w:w="102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Talisker Canyons Leaseco LLC. (Incorporated by reference to Exhibit 10.2 on Form 8-K of Vail Resorts, Inc. filed on May 30, 2013) (File</w:t>
              </w:r>
            </w:hyperlink>
          </w:p>
        </w:tc>
      </w:tr>
      <w:tr>
        <w:trPr>
          <w:trHeight w:val="196"/>
        </w:trPr>
        <w:tc>
          <w:tcPr>
            <w:tcW w:w="980" w:type="dxa"/>
            <w:vAlign w:val="bottom"/>
          </w:tcPr>
          <w:p>
            <w:pPr>
              <w:spacing w:after="0"/>
              <w:rPr>
                <w:sz w:val="17"/>
                <w:szCs w:val="17"/>
                <w:color w:val="auto"/>
              </w:rPr>
            </w:pPr>
          </w:p>
        </w:tc>
        <w:tc>
          <w:tcPr>
            <w:tcW w:w="12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80">
              <w:r>
                <w:rPr>
                  <w:rFonts w:ascii="Times New Roman" w:cs="Times New Roman" w:eastAsia="Times New Roman" w:hAnsi="Times New Roman"/>
                  <w:sz w:val="18"/>
                  <w:szCs w:val="18"/>
                  <w:color w:val="0000FF"/>
                  <w:w w:val="98"/>
                </w:rPr>
                <w:t>No. 001-09614).</w:t>
              </w:r>
            </w:hyperlink>
          </w:p>
        </w:tc>
        <w:tc>
          <w:tcPr>
            <w:tcW w:w="90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3086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00"/>
          </w:cols>
          <w:pgMar w:left="240" w:top="1171" w:right="259" w:bottom="858" w:gutter="0" w:footer="0" w:header="0"/>
        </w:sectPr>
      </w:pPr>
    </w:p>
    <w:p>
      <w:pPr>
        <w:spacing w:after="0" w:line="2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10.15*</w:t>
      </w:r>
    </w:p>
    <w:p>
      <w:pPr>
        <w:spacing w:after="0" w:line="2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10.16*</w:t>
      </w:r>
    </w:p>
    <w:p>
      <w:pPr>
        <w:spacing w:after="0" w:line="2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10.17(a)</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10.17(b)</w:t>
      </w:r>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10.17(c)</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10.17(d)</w:t>
      </w:r>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10.18(a)</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both"/>
        <w:ind w:right="20"/>
        <w:spacing w:after="0" w:line="281" w:lineRule="auto"/>
        <w:rPr>
          <w:rFonts w:ascii="Times New Roman" w:cs="Times New Roman" w:eastAsia="Times New Roman" w:hAnsi="Times New Roman"/>
          <w:sz w:val="18"/>
          <w:szCs w:val="18"/>
          <w:u w:val="single" w:color="auto"/>
          <w:color w:val="0000FF"/>
        </w:rPr>
      </w:pPr>
      <w:hyperlink r:id="rId82">
        <w:r>
          <w:rPr>
            <w:rFonts w:ascii="Times New Roman" w:cs="Times New Roman" w:eastAsia="Times New Roman" w:hAnsi="Times New Roman"/>
            <w:sz w:val="18"/>
            <w:szCs w:val="18"/>
            <w:u w:val="single" w:color="auto"/>
            <w:color w:val="0000FF"/>
          </w:rPr>
          <w:t>Vail Resorts, Inc. Management Incentive Plan. (Incorporated by reference to Exhibit 10.1 on Form 10-Q of Vail Resorts, Inc. for the quarter</w:t>
        </w:r>
      </w:hyperlink>
      <w:r>
        <w:rPr>
          <w:rFonts w:ascii="Times New Roman" w:cs="Times New Roman" w:eastAsia="Times New Roman" w:hAnsi="Times New Roman"/>
          <w:sz w:val="18"/>
          <w:szCs w:val="18"/>
          <w:u w:val="single" w:color="auto"/>
          <w:color w:val="0000FF"/>
        </w:rPr>
        <w:t xml:space="preserve"> </w:t>
      </w:r>
      <w:hyperlink r:id="rId82">
        <w:r>
          <w:rPr>
            <w:rFonts w:ascii="Times New Roman" w:cs="Times New Roman" w:eastAsia="Times New Roman" w:hAnsi="Times New Roman"/>
            <w:sz w:val="18"/>
            <w:szCs w:val="18"/>
            <w:u w:val="single" w:color="auto"/>
            <w:color w:val="0000FF"/>
          </w:rPr>
          <w:t>ended October 31, 2016) (File No. 001-09614).</w:t>
        </w:r>
      </w:hyperlink>
    </w:p>
    <w:p>
      <w:pPr>
        <w:spacing w:after="0" w:line="2" w:lineRule="exact"/>
        <w:rPr>
          <w:sz w:val="20"/>
          <w:szCs w:val="20"/>
          <w:color w:val="auto"/>
        </w:rPr>
      </w:pPr>
    </w:p>
    <w:p>
      <w:pPr>
        <w:jc w:val="both"/>
        <w:ind w:right="20"/>
        <w:spacing w:after="0" w:line="281" w:lineRule="auto"/>
        <w:rPr>
          <w:rFonts w:ascii="Times New Roman" w:cs="Times New Roman" w:eastAsia="Times New Roman" w:hAnsi="Times New Roman"/>
          <w:sz w:val="18"/>
          <w:szCs w:val="18"/>
          <w:u w:val="single" w:color="auto"/>
          <w:color w:val="0000FF"/>
        </w:rPr>
      </w:pPr>
      <w:hyperlink r:id="rId83">
        <w:r>
          <w:rPr>
            <w:rFonts w:ascii="Times New Roman" w:cs="Times New Roman" w:eastAsia="Times New Roman" w:hAnsi="Times New Roman"/>
            <w:sz w:val="18"/>
            <w:szCs w:val="18"/>
            <w:u w:val="single" w:color="auto"/>
            <w:color w:val="0000FF"/>
          </w:rPr>
          <w:t>Vail Resorts, Inc. 2015 Omnibus Incentive Plan (Incorporated by reference to Exhibit 10.1 on Form 8-K of Vail Resorts, Inc. filed on</w:t>
        </w:r>
      </w:hyperlink>
      <w:r>
        <w:rPr>
          <w:rFonts w:ascii="Times New Roman" w:cs="Times New Roman" w:eastAsia="Times New Roman" w:hAnsi="Times New Roman"/>
          <w:sz w:val="18"/>
          <w:szCs w:val="18"/>
          <w:u w:val="single" w:color="auto"/>
          <w:color w:val="0000FF"/>
        </w:rPr>
        <w:t xml:space="preserve"> </w:t>
      </w:r>
      <w:hyperlink r:id="rId83">
        <w:r>
          <w:rPr>
            <w:rFonts w:ascii="Times New Roman" w:cs="Times New Roman" w:eastAsia="Times New Roman" w:hAnsi="Times New Roman"/>
            <w:sz w:val="18"/>
            <w:szCs w:val="18"/>
            <w:u w:val="single" w:color="auto"/>
            <w:color w:val="0000FF"/>
          </w:rPr>
          <w:t>December 7, 2015) (File Number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-3810</wp:posOffset>
            </wp:positionV>
            <wp:extent cx="7246620" cy="5829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4">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jc w:val="both"/>
        <w:spacing w:after="0" w:line="261" w:lineRule="auto"/>
        <w:rPr>
          <w:rFonts w:ascii="Times New Roman" w:cs="Times New Roman" w:eastAsia="Times New Roman" w:hAnsi="Times New Roman"/>
          <w:sz w:val="18"/>
          <w:szCs w:val="18"/>
          <w:u w:val="single" w:color="auto"/>
          <w:color w:val="0000FF"/>
        </w:rPr>
      </w:pPr>
      <w:hyperlink r:id="rId85">
        <w:r>
          <w:rPr>
            <w:rFonts w:ascii="Times New Roman" w:cs="Times New Roman" w:eastAsia="Times New Roman" w:hAnsi="Times New Roman"/>
            <w:sz w:val="18"/>
            <w:szCs w:val="18"/>
            <w:u w:val="single" w:color="auto"/>
            <w:color w:val="0000FF"/>
          </w:rPr>
          <w:t>Seventh Amended and Restated Credit Agreement, Annex A to that certain Amendment Agreement, dated as of May 1, 2015, among Vail</w:t>
        </w:r>
      </w:hyperlink>
      <w:r>
        <w:rPr>
          <w:rFonts w:ascii="Times New Roman" w:cs="Times New Roman" w:eastAsia="Times New Roman" w:hAnsi="Times New Roman"/>
          <w:sz w:val="18"/>
          <w:szCs w:val="18"/>
          <w:u w:val="single" w:color="auto"/>
          <w:color w:val="0000FF"/>
        </w:rPr>
        <w:t xml:space="preserve"> </w:t>
      </w:r>
      <w:hyperlink r:id="rId85">
        <w:r>
          <w:rPr>
            <w:rFonts w:ascii="Times New Roman" w:cs="Times New Roman" w:eastAsia="Times New Roman" w:hAnsi="Times New Roman"/>
            <w:sz w:val="18"/>
            <w:szCs w:val="18"/>
            <w:u w:val="single" w:color="auto"/>
            <w:color w:val="0000FF"/>
          </w:rPr>
          <w:t>Holdings, Inc., as borrower, Bank of America, N.A., as administrative agent, U.S. Bank National Association and Wells Fargo Bank,</w:t>
        </w:r>
      </w:hyperlink>
      <w:r>
        <w:rPr>
          <w:rFonts w:ascii="Times New Roman" w:cs="Times New Roman" w:eastAsia="Times New Roman" w:hAnsi="Times New Roman"/>
          <w:sz w:val="18"/>
          <w:szCs w:val="18"/>
          <w:u w:val="single" w:color="auto"/>
          <w:color w:val="0000FF"/>
        </w:rPr>
        <w:t xml:space="preserve"> </w:t>
      </w:r>
      <w:hyperlink r:id="rId85">
        <w:r>
          <w:rPr>
            <w:rFonts w:ascii="Times New Roman" w:cs="Times New Roman" w:eastAsia="Times New Roman" w:hAnsi="Times New Roman"/>
            <w:sz w:val="18"/>
            <w:szCs w:val="18"/>
            <w:u w:val="single" w:color="auto"/>
            <w:color w:val="0000FF"/>
          </w:rPr>
          <w:t>National Association, as co-syndication agents, BBVA Compass, as documentation agent, and the Lenders party thereto. (Incorporated by</w:t>
        </w:r>
      </w:hyperlink>
      <w:r>
        <w:rPr>
          <w:rFonts w:ascii="Times New Roman" w:cs="Times New Roman" w:eastAsia="Times New Roman" w:hAnsi="Times New Roman"/>
          <w:sz w:val="18"/>
          <w:szCs w:val="18"/>
          <w:u w:val="single" w:color="auto"/>
          <w:color w:val="0000FF"/>
        </w:rPr>
        <w:t xml:space="preserve"> </w:t>
      </w:r>
      <w:hyperlink r:id="rId85">
        <w:r>
          <w:rPr>
            <w:rFonts w:ascii="Times New Roman" w:cs="Times New Roman" w:eastAsia="Times New Roman" w:hAnsi="Times New Roman"/>
            <w:sz w:val="18"/>
            <w:szCs w:val="18"/>
            <w:u w:val="single" w:color="auto"/>
            <w:color w:val="0000FF"/>
          </w:rPr>
          <w:t>reference to Exhibit 10.1 on Form 10-Q of Vail Resorts, Inc. for the quarter ended April 30, 2015) (File No. 001-09614).</w:t>
        </w:r>
      </w:hyperlink>
    </w:p>
    <w:p>
      <w:pPr>
        <w:spacing w:after="0" w:line="18"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86">
        <w:r>
          <w:rPr>
            <w:rFonts w:ascii="Times New Roman" w:cs="Times New Roman" w:eastAsia="Times New Roman" w:hAnsi="Times New Roman"/>
            <w:sz w:val="18"/>
            <w:szCs w:val="18"/>
            <w:u w:val="single" w:color="auto"/>
            <w:color w:val="0000FF"/>
          </w:rPr>
          <w:t>First Amendment to Seventh Amended and Restated Credit Agreement dated as of December 4, 2015, among Vail Holdings, Inc., as</w:t>
        </w:r>
      </w:hyperlink>
      <w:r>
        <w:rPr>
          <w:rFonts w:ascii="Times New Roman" w:cs="Times New Roman" w:eastAsia="Times New Roman" w:hAnsi="Times New Roman"/>
          <w:sz w:val="18"/>
          <w:szCs w:val="18"/>
          <w:u w:val="single" w:color="auto"/>
          <w:color w:val="0000FF"/>
        </w:rPr>
        <w:t xml:space="preserve"> </w:t>
      </w:r>
      <w:hyperlink r:id="rId86">
        <w:r>
          <w:rPr>
            <w:rFonts w:ascii="Times New Roman" w:cs="Times New Roman" w:eastAsia="Times New Roman" w:hAnsi="Times New Roman"/>
            <w:sz w:val="18"/>
            <w:szCs w:val="18"/>
            <w:u w:val="single" w:color="auto"/>
            <w:color w:val="0000FF"/>
          </w:rPr>
          <w:t>borrower, Bank of America N.A., as administrative agent, and the Lenders party thereto (Incorporated by reference to Exhibit 10.2 on Form</w:t>
        </w:r>
      </w:hyperlink>
      <w:r>
        <w:rPr>
          <w:rFonts w:ascii="Times New Roman" w:cs="Times New Roman" w:eastAsia="Times New Roman" w:hAnsi="Times New Roman"/>
          <w:sz w:val="18"/>
          <w:szCs w:val="18"/>
          <w:u w:val="single" w:color="auto"/>
          <w:color w:val="0000FF"/>
        </w:rPr>
        <w:t xml:space="preserve"> </w:t>
      </w:r>
      <w:hyperlink r:id="rId86">
        <w:r>
          <w:rPr>
            <w:rFonts w:ascii="Times New Roman" w:cs="Times New Roman" w:eastAsia="Times New Roman" w:hAnsi="Times New Roman"/>
            <w:sz w:val="18"/>
            <w:szCs w:val="18"/>
            <w:u w:val="single" w:color="auto"/>
            <w:color w:val="0000FF"/>
          </w:rPr>
          <w:t>10-Q of Vail Resorts, Inc. for the quarter ended October 31, 2015) (File Number 001-09614).</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-743585</wp:posOffset>
            </wp:positionH>
            <wp:positionV relativeFrom="paragraph">
              <wp:posOffset>3175</wp:posOffset>
            </wp:positionV>
            <wp:extent cx="7246620" cy="411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7">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75" w:lineRule="exact"/>
        <w:rPr>
          <w:rFonts w:ascii="Times New Roman" w:cs="Times New Roman" w:eastAsia="Times New Roman" w:hAnsi="Times New Roman"/>
          <w:sz w:val="18"/>
          <w:szCs w:val="18"/>
          <w:u w:val="single" w:color="auto"/>
          <w:color w:val="0000FF"/>
        </w:rPr>
      </w:pPr>
    </w:p>
    <w:p>
      <w:pPr>
        <w:jc w:val="both"/>
        <w:ind w:right="20"/>
        <w:spacing w:after="0" w:line="282" w:lineRule="auto"/>
        <w:rPr>
          <w:rFonts w:ascii="Times New Roman" w:cs="Times New Roman" w:eastAsia="Times New Roman" w:hAnsi="Times New Roman"/>
          <w:sz w:val="18"/>
          <w:szCs w:val="18"/>
          <w:u w:val="single" w:color="auto"/>
          <w:color w:val="0000FF"/>
        </w:rPr>
      </w:pPr>
      <w:hyperlink r:id="rId88">
        <w:r>
          <w:rPr>
            <w:rFonts w:ascii="Times New Roman" w:cs="Times New Roman" w:eastAsia="Times New Roman" w:hAnsi="Times New Roman"/>
            <w:sz w:val="18"/>
            <w:szCs w:val="18"/>
            <w:u w:val="single" w:color="auto"/>
            <w:color w:val="0000FF"/>
          </w:rPr>
          <w:t>Second Amendment to Seventh Amended and Restated Credit Agreement, dated October 14, 2016 (Incorporated by reference to Exhibit 10.1</w:t>
        </w:r>
      </w:hyperlink>
      <w:r>
        <w:rPr>
          <w:rFonts w:ascii="Times New Roman" w:cs="Times New Roman" w:eastAsia="Times New Roman" w:hAnsi="Times New Roman"/>
          <w:sz w:val="18"/>
          <w:szCs w:val="18"/>
          <w:u w:val="single" w:color="auto"/>
          <w:color w:val="0000FF"/>
        </w:rPr>
        <w:t xml:space="preserve"> </w:t>
      </w:r>
      <w:hyperlink r:id="rId88">
        <w:r>
          <w:rPr>
            <w:rFonts w:ascii="Times New Roman" w:cs="Times New Roman" w:eastAsia="Times New Roman" w:hAnsi="Times New Roman"/>
            <w:sz w:val="18"/>
            <w:szCs w:val="18"/>
            <w:u w:val="single" w:color="auto"/>
            <w:color w:val="0000FF"/>
          </w:rPr>
          <w:t>on Form 8-K of Vail Resorts, Inc. filed on October 17, 2016) (File No. 001-09614).</w:t>
        </w:r>
      </w:hyperlink>
    </w:p>
    <w:p>
      <w:pPr>
        <w:spacing w:after="0" w:line="81"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89">
        <w:r>
          <w:rPr>
            <w:rFonts w:ascii="Times New Roman" w:cs="Times New Roman" w:eastAsia="Times New Roman" w:hAnsi="Times New Roman"/>
            <w:sz w:val="18"/>
            <w:szCs w:val="18"/>
            <w:u w:val="single" w:color="auto"/>
            <w:color w:val="0000FF"/>
          </w:rPr>
          <w:t>Third Amendment to Seventh Amended and Restated Credit Agreement, dated as of April 7, 2017, by and among Vail Holdings, Inc., Bank</w:t>
        </w:r>
      </w:hyperlink>
      <w:r>
        <w:rPr>
          <w:rFonts w:ascii="Times New Roman" w:cs="Times New Roman" w:eastAsia="Times New Roman" w:hAnsi="Times New Roman"/>
          <w:sz w:val="18"/>
          <w:szCs w:val="18"/>
          <w:u w:val="single" w:color="auto"/>
          <w:color w:val="0000FF"/>
        </w:rPr>
        <w:t xml:space="preserve"> </w:t>
      </w:r>
      <w:hyperlink r:id="rId89">
        <w:r>
          <w:rPr>
            <w:rFonts w:ascii="Times New Roman" w:cs="Times New Roman" w:eastAsia="Times New Roman" w:hAnsi="Times New Roman"/>
            <w:sz w:val="18"/>
            <w:szCs w:val="18"/>
            <w:u w:val="single" w:color="auto"/>
            <w:color w:val="0000FF"/>
          </w:rPr>
          <w:t>of America, N.A., as Administrative Agent, and the Lenders named therein (Incorporated by reference to Exhibit 10.3 on Form 10-Q of Vail</w:t>
        </w:r>
      </w:hyperlink>
      <w:r>
        <w:rPr>
          <w:rFonts w:ascii="Times New Roman" w:cs="Times New Roman" w:eastAsia="Times New Roman" w:hAnsi="Times New Roman"/>
          <w:sz w:val="18"/>
          <w:szCs w:val="18"/>
          <w:u w:val="single" w:color="auto"/>
          <w:color w:val="0000FF"/>
        </w:rPr>
        <w:t xml:space="preserve"> </w:t>
      </w:r>
      <w:hyperlink r:id="rId89">
        <w:r>
          <w:rPr>
            <w:rFonts w:ascii="Times New Roman" w:cs="Times New Roman" w:eastAsia="Times New Roman" w:hAnsi="Times New Roman"/>
            <w:sz w:val="18"/>
            <w:szCs w:val="18"/>
            <w:u w:val="single" w:color="auto"/>
            <w:color w:val="0000FF"/>
          </w:rPr>
          <w:t>Resorts, Inc. for the quarter ended April 30, 2017) (File Number 001-09614).</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-743585</wp:posOffset>
            </wp:positionH>
            <wp:positionV relativeFrom="paragraph">
              <wp:posOffset>3175</wp:posOffset>
            </wp:positionV>
            <wp:extent cx="7246620" cy="12007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0">
                      <a:extLst>
                        <a:ext uri="{28A0092B-C50C-407E-A947-70E740481C1C}"/>
                      </a:extLst>
                    </a:blip>
                    <a:srcRect/>
                    <a:stretch>
                      <a:fillRect/>
                    </a:stretch>
                  </pic:blipFill>
                  <pic:spPr bwMode="auto">
                    <a:xfrm>
                      <a:off x="0" y="0"/>
                      <a:ext cx="7246620" cy="1200785"/>
                    </a:xfrm>
                    <a:prstGeom prst="rect">
                      <a:avLst/>
                    </a:prstGeom>
                    <a:noFill/>
                  </pic:spPr>
                </pic:pic>
              </a:graphicData>
            </a:graphic>
          </wp:anchor>
        </w:drawing>
      </w:r>
    </w:p>
    <w:p>
      <w:pPr>
        <w:spacing w:after="0" w:line="75" w:lineRule="exact"/>
        <w:rPr>
          <w:rFonts w:ascii="Times New Roman" w:cs="Times New Roman" w:eastAsia="Times New Roman" w:hAnsi="Times New Roman"/>
          <w:sz w:val="18"/>
          <w:szCs w:val="18"/>
          <w:u w:val="single" w:color="auto"/>
          <w:color w:val="0000FF"/>
        </w:rPr>
      </w:pPr>
    </w:p>
    <w:p>
      <w:pPr>
        <w:jc w:val="both"/>
        <w:ind w:right="20"/>
        <w:spacing w:after="0" w:line="256" w:lineRule="auto"/>
        <w:rPr>
          <w:rFonts w:ascii="Times New Roman" w:cs="Times New Roman" w:eastAsia="Times New Roman" w:hAnsi="Times New Roman"/>
          <w:sz w:val="18"/>
          <w:szCs w:val="18"/>
          <w:u w:val="single" w:color="auto"/>
          <w:color w:val="0000FF"/>
        </w:rPr>
      </w:pPr>
      <w:hyperlink r:id="rId91">
        <w:r>
          <w:rPr>
            <w:rFonts w:ascii="Times New Roman" w:cs="Times New Roman" w:eastAsia="Times New Roman" w:hAnsi="Times New Roman"/>
            <w:sz w:val="18"/>
            <w:szCs w:val="18"/>
            <w:u w:val="single" w:color="auto"/>
            <w:color w:val="0000FF"/>
          </w:rPr>
          <w:t>Amended and Restated Credit Agreement and the amendments thereto, dated as of November 12, 2013, among Whistler Mountain Resort</w:t>
        </w:r>
      </w:hyperlink>
      <w:r>
        <w:rPr>
          <w:rFonts w:ascii="Times New Roman" w:cs="Times New Roman" w:eastAsia="Times New Roman" w:hAnsi="Times New Roman"/>
          <w:sz w:val="18"/>
          <w:szCs w:val="18"/>
          <w:u w:val="single" w:color="auto"/>
          <w:color w:val="0000FF"/>
        </w:rPr>
        <w:t xml:space="preserve"> </w:t>
      </w:r>
      <w:hyperlink r:id="rId91">
        <w:r>
          <w:rPr>
            <w:rFonts w:ascii="Times New Roman" w:cs="Times New Roman" w:eastAsia="Times New Roman" w:hAnsi="Times New Roman"/>
            <w:sz w:val="18"/>
            <w:szCs w:val="18"/>
            <w:u w:val="single" w:color="auto"/>
            <w:color w:val="0000FF"/>
          </w:rPr>
          <w:t>Limited Partnership and Blackcomb Skiing Enterprises Limited Partnership, as borrowers, the Guarantors Party thereto, the Financial</w:t>
        </w:r>
      </w:hyperlink>
      <w:r>
        <w:rPr>
          <w:rFonts w:ascii="Times New Roman" w:cs="Times New Roman" w:eastAsia="Times New Roman" w:hAnsi="Times New Roman"/>
          <w:sz w:val="18"/>
          <w:szCs w:val="18"/>
          <w:u w:val="single" w:color="auto"/>
          <w:color w:val="0000FF"/>
        </w:rPr>
        <w:t xml:space="preserve"> </w:t>
      </w:r>
      <w:hyperlink r:id="rId91">
        <w:r>
          <w:rPr>
            <w:rFonts w:ascii="Times New Roman" w:cs="Times New Roman" w:eastAsia="Times New Roman" w:hAnsi="Times New Roman"/>
            <w:sz w:val="18"/>
            <w:szCs w:val="18"/>
            <w:u w:val="single" w:color="auto"/>
            <w:color w:val="0000FF"/>
          </w:rPr>
          <w:t>Institutions named therein, The Toronto-Dominion Bank, as administrative agent, TD Securities, as lead arranger and sole bookrunner, and</w:t>
        </w:r>
      </w:hyperlink>
      <w:r>
        <w:rPr>
          <w:rFonts w:ascii="Times New Roman" w:cs="Times New Roman" w:eastAsia="Times New Roman" w:hAnsi="Times New Roman"/>
          <w:sz w:val="18"/>
          <w:szCs w:val="18"/>
          <w:u w:val="single" w:color="auto"/>
          <w:color w:val="0000FF"/>
        </w:rPr>
        <w:t xml:space="preserve"> </w:t>
      </w:r>
      <w:hyperlink r:id="rId91">
        <w:r>
          <w:rPr>
            <w:rFonts w:ascii="Times New Roman" w:cs="Times New Roman" w:eastAsia="Times New Roman" w:hAnsi="Times New Roman"/>
            <w:sz w:val="18"/>
            <w:szCs w:val="18"/>
            <w:u w:val="single" w:color="auto"/>
            <w:color w:val="0000FF"/>
          </w:rPr>
          <w:t>Royal Bank of Canada, Bank of Montreal, Wells Fargo Bank, N.A., Canadian Branch, and Bank of America, N.A., Canadian Branch, as co-</w:t>
        </w:r>
      </w:hyperlink>
      <w:hyperlink r:id="rId91">
        <w:r>
          <w:rPr>
            <w:rFonts w:ascii="Times New Roman" w:cs="Times New Roman" w:eastAsia="Times New Roman" w:hAnsi="Times New Roman"/>
            <w:sz w:val="18"/>
            <w:szCs w:val="18"/>
            <w:u w:val="single" w:color="auto"/>
            <w:color w:val="0000FF"/>
          </w:rPr>
          <w:t>documentation agents (Incorporated by reference to Exhibit 10.3 on Form 10-Q of Vail Resorts, Inc. for the quarter ended October 30, 2016)</w:t>
        </w:r>
      </w:hyperlink>
      <w:r>
        <w:rPr>
          <w:rFonts w:ascii="Times New Roman" w:cs="Times New Roman" w:eastAsia="Times New Roman" w:hAnsi="Times New Roman"/>
          <w:sz w:val="18"/>
          <w:szCs w:val="18"/>
          <w:u w:val="single" w:color="auto"/>
          <w:color w:val="0000FF"/>
        </w:rPr>
        <w:t xml:space="preserve"> </w:t>
      </w:r>
      <w:hyperlink r:id="rId91">
        <w:r>
          <w:rPr>
            <w:rFonts w:ascii="Times New Roman" w:cs="Times New Roman" w:eastAsia="Times New Roman" w:hAnsi="Times New Roman"/>
            <w:sz w:val="18"/>
            <w:szCs w:val="18"/>
            <w:u w:val="single" w:color="auto"/>
            <w:color w:val="0000FF"/>
          </w:rPr>
          <w:t>(File No. 001-09614).</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840" w:space="340"/>
            <w:col w:w="10220"/>
          </w:cols>
          <w:pgMar w:left="240" w:top="1171" w:right="259" w:bottom="858" w:gutter="0" w:footer="0" w:header="0"/>
          <w:type w:val="continuous"/>
        </w:sectPr>
      </w:pPr>
    </w:p>
    <w:p>
      <w:pPr>
        <w:spacing w:after="0" w:line="285" w:lineRule="exact"/>
        <w:rPr>
          <w:rFonts w:ascii="Times New Roman" w:cs="Times New Roman" w:eastAsia="Times New Roman" w:hAnsi="Times New Roman"/>
          <w:sz w:val="18"/>
          <w:szCs w:val="18"/>
          <w:u w:val="single" w:color="auto"/>
          <w:color w:val="0000FF"/>
        </w:rPr>
      </w:pPr>
    </w:p>
    <w:p>
      <w:pPr>
        <w:ind w:left="220"/>
        <w:spacing w:after="0"/>
        <w:rPr>
          <w:sz w:val="20"/>
          <w:szCs w:val="20"/>
          <w:color w:val="auto"/>
        </w:rPr>
      </w:pPr>
      <w:r>
        <w:rPr>
          <w:rFonts w:ascii="Times New Roman" w:cs="Times New Roman" w:eastAsia="Times New Roman" w:hAnsi="Times New Roman"/>
          <w:sz w:val="18"/>
          <w:szCs w:val="18"/>
          <w:color w:val="auto"/>
        </w:rPr>
        <w:t>10.18(b)</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11" w:lineRule="exact"/>
        <w:rPr>
          <w:rFonts w:ascii="Times New Roman" w:cs="Times New Roman" w:eastAsia="Times New Roman" w:hAnsi="Times New Roman"/>
          <w:sz w:val="18"/>
          <w:szCs w:val="18"/>
          <w:u w:val="single" w:color="auto"/>
          <w:color w:val="0000FF"/>
        </w:rPr>
      </w:pPr>
    </w:p>
    <w:p>
      <w:pPr>
        <w:ind w:left="320"/>
        <w:spacing w:after="0"/>
        <w:rPr>
          <w:sz w:val="20"/>
          <w:szCs w:val="20"/>
          <w:color w:val="auto"/>
        </w:rPr>
      </w:pPr>
      <w:r>
        <w:rPr>
          <w:rFonts w:ascii="Times New Roman" w:cs="Times New Roman" w:eastAsia="Times New Roman" w:hAnsi="Times New Roman"/>
          <w:sz w:val="18"/>
          <w:szCs w:val="18"/>
          <w:color w:val="auto"/>
        </w:rPr>
        <w:t>10.19</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65" w:lineRule="exact"/>
        <w:rPr>
          <w:rFonts w:ascii="Times New Roman" w:cs="Times New Roman" w:eastAsia="Times New Roman" w:hAnsi="Times New Roman"/>
          <w:sz w:val="18"/>
          <w:szCs w:val="18"/>
          <w:u w:val="single" w:color="auto"/>
          <w:color w:val="0000FF"/>
        </w:rPr>
      </w:pPr>
    </w:p>
    <w:p>
      <w:pPr>
        <w:jc w:val="both"/>
        <w:spacing w:after="0" w:line="261" w:lineRule="auto"/>
        <w:rPr>
          <w:rFonts w:ascii="Times New Roman" w:cs="Times New Roman" w:eastAsia="Times New Roman" w:hAnsi="Times New Roman"/>
          <w:sz w:val="18"/>
          <w:szCs w:val="18"/>
          <w:u w:val="single" w:color="auto"/>
          <w:color w:val="0000FF"/>
        </w:rPr>
      </w:pPr>
      <w:hyperlink r:id="rId92">
        <w:r>
          <w:rPr>
            <w:rFonts w:ascii="Times New Roman" w:cs="Times New Roman" w:eastAsia="Times New Roman" w:hAnsi="Times New Roman"/>
            <w:sz w:val="18"/>
            <w:szCs w:val="18"/>
            <w:u w:val="single" w:color="auto"/>
            <w:color w:val="0000FF"/>
          </w:rPr>
          <w:t>Third Amending Agreement, dated as of February 10, 2017, among Whistler Mountain Resort Limited Partnership and Blackcomb Skiing</w:t>
        </w:r>
      </w:hyperlink>
      <w:r>
        <w:rPr>
          <w:rFonts w:ascii="Times New Roman" w:cs="Times New Roman" w:eastAsia="Times New Roman" w:hAnsi="Times New Roman"/>
          <w:sz w:val="18"/>
          <w:szCs w:val="18"/>
          <w:u w:val="single" w:color="auto"/>
          <w:color w:val="0000FF"/>
        </w:rPr>
        <w:t xml:space="preserve"> </w:t>
      </w:r>
      <w:hyperlink r:id="rId92">
        <w:r>
          <w:rPr>
            <w:rFonts w:ascii="Times New Roman" w:cs="Times New Roman" w:eastAsia="Times New Roman" w:hAnsi="Times New Roman"/>
            <w:sz w:val="18"/>
            <w:szCs w:val="18"/>
            <w:u w:val="single" w:color="auto"/>
            <w:color w:val="0000FF"/>
          </w:rPr>
          <w:t>Enterprises Limited Partnership, as borrowers, the Guarantors Party thereto, and The Toronto-Dominion Bank, as administrative agent, on its</w:t>
        </w:r>
      </w:hyperlink>
      <w:r>
        <w:rPr>
          <w:rFonts w:ascii="Times New Roman" w:cs="Times New Roman" w:eastAsia="Times New Roman" w:hAnsi="Times New Roman"/>
          <w:sz w:val="18"/>
          <w:szCs w:val="18"/>
          <w:u w:val="single" w:color="auto"/>
          <w:color w:val="0000FF"/>
        </w:rPr>
        <w:t xml:space="preserve"> </w:t>
      </w:r>
      <w:hyperlink r:id="rId92">
        <w:r>
          <w:rPr>
            <w:rFonts w:ascii="Times New Roman" w:cs="Times New Roman" w:eastAsia="Times New Roman" w:hAnsi="Times New Roman"/>
            <w:sz w:val="18"/>
            <w:szCs w:val="18"/>
            <w:u w:val="single" w:color="auto"/>
            <w:color w:val="0000FF"/>
          </w:rPr>
          <w:t>own behalf and on behalf of the Lenders (Incorporated by reference to Exhibit 10.1 on Form 10-Q of Vail Resorts, Inc. for the quarter ended</w:t>
        </w:r>
      </w:hyperlink>
      <w:r>
        <w:rPr>
          <w:rFonts w:ascii="Times New Roman" w:cs="Times New Roman" w:eastAsia="Times New Roman" w:hAnsi="Times New Roman"/>
          <w:sz w:val="18"/>
          <w:szCs w:val="18"/>
          <w:u w:val="single" w:color="auto"/>
          <w:color w:val="0000FF"/>
        </w:rPr>
        <w:t xml:space="preserve"> </w:t>
      </w:r>
      <w:hyperlink r:id="rId92">
        <w:r>
          <w:rPr>
            <w:rFonts w:ascii="Times New Roman" w:cs="Times New Roman" w:eastAsia="Times New Roman" w:hAnsi="Times New Roman"/>
            <w:sz w:val="18"/>
            <w:szCs w:val="18"/>
            <w:u w:val="single" w:color="auto"/>
            <w:color w:val="0000FF"/>
          </w:rPr>
          <w:t>January 31, 2017) (File No. 001-09614).</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-743585</wp:posOffset>
            </wp:positionH>
            <wp:positionV relativeFrom="paragraph">
              <wp:posOffset>5715</wp:posOffset>
            </wp:positionV>
            <wp:extent cx="7246620" cy="7886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3">
                      <a:extLst>
                        <a:ext uri="{28A0092B-C50C-407E-A947-70E740481C1C}"/>
                      </a:extLst>
                    </a:blip>
                    <a:srcRect/>
                    <a:stretch>
                      <a:fillRect/>
                    </a:stretch>
                  </pic:blipFill>
                  <pic:spPr bwMode="auto">
                    <a:xfrm>
                      <a:off x="0" y="0"/>
                      <a:ext cx="7246620" cy="788670"/>
                    </a:xfrm>
                    <a:prstGeom prst="rect">
                      <a:avLst/>
                    </a:prstGeom>
                    <a:noFill/>
                  </pic:spPr>
                </pic:pic>
              </a:graphicData>
            </a:graphic>
          </wp:anchor>
        </w:drawing>
      </w:r>
    </w:p>
    <w:p>
      <w:pPr>
        <w:spacing w:after="0" w:line="79"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94">
        <w:r>
          <w:rPr>
            <w:rFonts w:ascii="Times New Roman" w:cs="Times New Roman" w:eastAsia="Times New Roman" w:hAnsi="Times New Roman"/>
            <w:sz w:val="18"/>
            <w:szCs w:val="18"/>
            <w:u w:val="single" w:color="auto"/>
            <w:color w:val="0000FF"/>
          </w:rPr>
          <w:t>Whistler Mountain Master Development Agreement, dated as of February 23, 2017, between Her Majesty the Queen in Right of the Province</w:t>
        </w:r>
      </w:hyperlink>
      <w:r>
        <w:rPr>
          <w:rFonts w:ascii="Times New Roman" w:cs="Times New Roman" w:eastAsia="Times New Roman" w:hAnsi="Times New Roman"/>
          <w:sz w:val="18"/>
          <w:szCs w:val="18"/>
          <w:u w:val="single" w:color="auto"/>
          <w:color w:val="0000FF"/>
        </w:rPr>
        <w:t xml:space="preserve"> </w:t>
      </w:r>
      <w:hyperlink r:id="rId94">
        <w:r>
          <w:rPr>
            <w:rFonts w:ascii="Times New Roman" w:cs="Times New Roman" w:eastAsia="Times New Roman" w:hAnsi="Times New Roman"/>
            <w:sz w:val="18"/>
            <w:szCs w:val="18"/>
            <w:u w:val="single" w:color="auto"/>
            <w:color w:val="0000FF"/>
          </w:rPr>
          <w:t>of British Columbia and Whistler Mountain Resort Limited Partnership (Incorporated by reference to Exhibit 10.1 on Form 8-K of Vail</w:t>
        </w:r>
      </w:hyperlink>
      <w:r>
        <w:rPr>
          <w:rFonts w:ascii="Times New Roman" w:cs="Times New Roman" w:eastAsia="Times New Roman" w:hAnsi="Times New Roman"/>
          <w:sz w:val="18"/>
          <w:szCs w:val="18"/>
          <w:u w:val="single" w:color="auto"/>
          <w:color w:val="0000FF"/>
        </w:rPr>
        <w:t xml:space="preserve"> </w:t>
      </w:r>
      <w:hyperlink r:id="rId94">
        <w:r>
          <w:rPr>
            <w:rFonts w:ascii="Times New Roman" w:cs="Times New Roman" w:eastAsia="Times New Roman" w:hAnsi="Times New Roman"/>
            <w:sz w:val="18"/>
            <w:szCs w:val="18"/>
            <w:u w:val="single" w:color="auto"/>
            <w:color w:val="0000FF"/>
          </w:rPr>
          <w:t>Resorts, Inc. filed on February 27, 2017) (File No. 001-09614).</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840" w:space="340"/>
            <w:col w:w="10220"/>
          </w:cols>
          <w:pgMar w:left="240" w:top="1171" w:right="259" w:bottom="858" w:gutter="0" w:footer="0" w:header="0"/>
          <w:type w:val="continuous"/>
        </w:sectPr>
      </w:pPr>
    </w:p>
    <w:p>
      <w:pPr>
        <w:spacing w:after="0" w:line="273" w:lineRule="exact"/>
        <w:rPr>
          <w:rFonts w:ascii="Times New Roman" w:cs="Times New Roman" w:eastAsia="Times New Roman" w:hAnsi="Times New Roman"/>
          <w:sz w:val="18"/>
          <w:szCs w:val="18"/>
          <w:u w:val="single" w:color="auto"/>
          <w:color w:val="0000FF"/>
        </w:rPr>
      </w:pPr>
    </w:p>
    <w:p>
      <w:pPr>
        <w:jc w:val="both"/>
        <w:ind w:left="1180" w:hanging="857"/>
        <w:spacing w:after="0" w:line="266" w:lineRule="auto"/>
        <w:tabs>
          <w:tab w:leader="none" w:pos="11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95">
        <w:r>
          <w:rPr>
            <w:rFonts w:ascii="Times New Roman" w:cs="Times New Roman" w:eastAsia="Times New Roman" w:hAnsi="Times New Roman"/>
            <w:sz w:val="18"/>
            <w:szCs w:val="18"/>
            <w:u w:val="single" w:color="auto"/>
            <w:color w:val="0000FF"/>
          </w:rPr>
          <w:t>Blackcomb Mountain Master Development Agreement, dated as of February 23, 2017, between Her Majesty the Queen in Right of the</w:t>
        </w:r>
      </w:hyperlink>
      <w:r>
        <w:rPr>
          <w:rFonts w:ascii="Times New Roman" w:cs="Times New Roman" w:eastAsia="Times New Roman" w:hAnsi="Times New Roman"/>
          <w:sz w:val="18"/>
          <w:szCs w:val="18"/>
          <w:u w:val="single" w:color="auto"/>
          <w:color w:val="0000FF"/>
        </w:rPr>
        <w:t xml:space="preserve"> </w:t>
      </w:r>
      <w:hyperlink r:id="rId95">
        <w:r>
          <w:rPr>
            <w:rFonts w:ascii="Times New Roman" w:cs="Times New Roman" w:eastAsia="Times New Roman" w:hAnsi="Times New Roman"/>
            <w:sz w:val="18"/>
            <w:szCs w:val="18"/>
            <w:u w:val="single" w:color="auto"/>
            <w:color w:val="0000FF"/>
          </w:rPr>
          <w:t>Province of British Columbia and Blackcomb Skiing Enterprises Limited Partnership (Incorporated by reference to Exhibit 10.2 on Form 8-</w:t>
        </w:r>
      </w:hyperlink>
      <w:hyperlink r:id="rId95">
        <w:r>
          <w:rPr>
            <w:rFonts w:ascii="Times New Roman" w:cs="Times New Roman" w:eastAsia="Times New Roman" w:hAnsi="Times New Roman"/>
            <w:sz w:val="18"/>
            <w:szCs w:val="18"/>
            <w:u w:val="single" w:color="auto"/>
            <w:color w:val="0000FF"/>
          </w:rPr>
          <w:t>K of Vail Resorts, Inc. filed on February 27, 2017) (File No. 001-09614).</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180" w:hanging="742"/>
        <w:spacing w:after="0"/>
        <w:tabs>
          <w:tab w:leader="none" w:pos="1180" w:val="left"/>
        </w:tabs>
        <w:numPr>
          <w:ilvl w:val="0"/>
          <w:numId w:val="61"/>
        </w:numPr>
        <w:rPr>
          <w:rFonts w:ascii="Times New Roman" w:cs="Times New Roman" w:eastAsia="Times New Roman" w:hAnsi="Times New Roman"/>
          <w:sz w:val="18"/>
          <w:szCs w:val="18"/>
          <w:u w:val="single" w:color="auto"/>
          <w:color w:val="0000FF"/>
        </w:rPr>
      </w:pPr>
      <w:hyperlink w:anchor="page133">
        <w:r>
          <w:rPr>
            <w:rFonts w:ascii="Times New Roman" w:cs="Times New Roman" w:eastAsia="Times New Roman" w:hAnsi="Times New Roman"/>
            <w:sz w:val="18"/>
            <w:szCs w:val="18"/>
            <w:u w:val="single" w:color="auto"/>
            <w:color w:val="0000FF"/>
          </w:rPr>
          <w:t>Subsidiaries of Vail Resorts, Inc.</w:t>
        </w:r>
      </w:hyperlink>
    </w:p>
    <w:p>
      <w:pPr>
        <w:spacing w:after="0" w:line="63" w:lineRule="exact"/>
        <w:rPr>
          <w:rFonts w:ascii="Times New Roman" w:cs="Times New Roman" w:eastAsia="Times New Roman" w:hAnsi="Times New Roman"/>
          <w:sz w:val="18"/>
          <w:szCs w:val="18"/>
          <w:u w:val="single" w:color="auto"/>
          <w:color w:val="0000FF"/>
        </w:rPr>
      </w:pPr>
    </w:p>
    <w:p>
      <w:pPr>
        <w:ind w:left="1180" w:hanging="742"/>
        <w:spacing w:after="0"/>
        <w:tabs>
          <w:tab w:leader="none" w:pos="1180" w:val="left"/>
        </w:tabs>
        <w:numPr>
          <w:ilvl w:val="0"/>
          <w:numId w:val="62"/>
        </w:numPr>
        <w:rPr>
          <w:rFonts w:ascii="Times New Roman" w:cs="Times New Roman" w:eastAsia="Times New Roman" w:hAnsi="Times New Roman"/>
          <w:sz w:val="18"/>
          <w:szCs w:val="18"/>
          <w:u w:val="single" w:color="auto"/>
          <w:color w:val="0000FF"/>
        </w:rPr>
      </w:pPr>
      <w:hyperlink w:anchor="page144">
        <w:r>
          <w:rPr>
            <w:rFonts w:ascii="Times New Roman" w:cs="Times New Roman" w:eastAsia="Times New Roman" w:hAnsi="Times New Roman"/>
            <w:sz w:val="18"/>
            <w:szCs w:val="18"/>
            <w:u w:val="single" w:color="auto"/>
            <w:color w:val="0000FF"/>
          </w:rPr>
          <w:t>Consent of Independent Registered Public Accounting Firm.</w:t>
        </w:r>
      </w:hyperlink>
    </w:p>
    <w:p>
      <w:pPr>
        <w:spacing w:after="0" w:line="63" w:lineRule="exact"/>
        <w:rPr>
          <w:rFonts w:ascii="Times New Roman" w:cs="Times New Roman" w:eastAsia="Times New Roman" w:hAnsi="Times New Roman"/>
          <w:sz w:val="18"/>
          <w:szCs w:val="18"/>
          <w:u w:val="single" w:color="auto"/>
          <w:color w:val="0000FF"/>
        </w:rPr>
      </w:pPr>
    </w:p>
    <w:p>
      <w:pPr>
        <w:ind w:left="1180" w:hanging="742"/>
        <w:spacing w:after="0"/>
        <w:tabs>
          <w:tab w:leader="none" w:pos="11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Attorney. Included on signature pages hereto.</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rFonts w:ascii="Times New Roman" w:cs="Times New Roman" w:eastAsia="Times New Roman" w:hAnsi="Times New Roman"/>
          <w:sz w:val="18"/>
          <w:szCs w:val="18"/>
          <w:u w:val="single" w:color="auto"/>
          <w:color w:val="0000FF"/>
        </w:rPr>
      </w:pPr>
    </w:p>
    <w:p>
      <w:pPr>
        <w:ind w:left="380"/>
        <w:spacing w:after="0"/>
        <w:tabs>
          <w:tab w:leader="none" w:pos="11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31.1</w:t>
      </w:r>
      <w:r>
        <w:rPr>
          <w:sz w:val="20"/>
          <w:szCs w:val="20"/>
          <w:color w:val="auto"/>
        </w:rPr>
        <w:tab/>
      </w:r>
      <w:hyperlink w:anchor="page145">
        <w:r>
          <w:rPr>
            <w:rFonts w:ascii="Times New Roman" w:cs="Times New Roman" w:eastAsia="Times New Roman" w:hAnsi="Times New Roman"/>
            <w:sz w:val="18"/>
            <w:szCs w:val="18"/>
            <w:u w:val="single" w:color="auto"/>
            <w:color w:val="0000FF"/>
          </w:rPr>
          <w:t>Certification of Chief Executive Officer pursuant to Section 302 of the Sarbanes-Oxley Act of 2002.</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rFonts w:ascii="Times New Roman" w:cs="Times New Roman" w:eastAsia="Times New Roman" w:hAnsi="Times New Roman"/>
          <w:sz w:val="18"/>
          <w:szCs w:val="18"/>
          <w:u w:val="single" w:color="auto"/>
          <w:color w:val="0000FF"/>
        </w:rPr>
      </w:pPr>
    </w:p>
    <w:p>
      <w:pPr>
        <w:ind w:left="380"/>
        <w:spacing w:after="0"/>
        <w:tabs>
          <w:tab w:leader="none" w:pos="11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31.2</w:t>
      </w:r>
      <w:r>
        <w:rPr>
          <w:sz w:val="20"/>
          <w:szCs w:val="20"/>
          <w:color w:val="auto"/>
        </w:rPr>
        <w:tab/>
      </w:r>
      <w:hyperlink w:anchor="page146">
        <w:r>
          <w:rPr>
            <w:rFonts w:ascii="Times New Roman" w:cs="Times New Roman" w:eastAsia="Times New Roman" w:hAnsi="Times New Roman"/>
            <w:sz w:val="17"/>
            <w:szCs w:val="17"/>
            <w:u w:val="single" w:color="auto"/>
            <w:color w:val="0000FF"/>
          </w:rPr>
          <w:t>Certification of Chief Financial Officer pursuant to Section 302 of the Sarbanes-Oxley Act of 2002.</w:t>
        </w:r>
      </w:hyperlink>
    </w:p>
    <w:p>
      <w:pPr>
        <w:spacing w:after="0" w:line="63" w:lineRule="exact"/>
        <w:rPr>
          <w:rFonts w:ascii="Times New Roman" w:cs="Times New Roman" w:eastAsia="Times New Roman" w:hAnsi="Times New Roman"/>
          <w:sz w:val="18"/>
          <w:szCs w:val="18"/>
          <w:u w:val="single" w:color="auto"/>
          <w:color w:val="0000FF"/>
        </w:rPr>
      </w:pPr>
    </w:p>
    <w:p>
      <w:pPr>
        <w:ind w:left="1180" w:hanging="742"/>
        <w:spacing w:after="0" w:line="281" w:lineRule="auto"/>
        <w:tabs>
          <w:tab w:leader="none" w:pos="1180" w:val="left"/>
        </w:tabs>
        <w:numPr>
          <w:ilvl w:val="0"/>
          <w:numId w:val="63"/>
        </w:numPr>
        <w:rPr>
          <w:rFonts w:ascii="Times New Roman" w:cs="Times New Roman" w:eastAsia="Times New Roman" w:hAnsi="Times New Roman"/>
          <w:sz w:val="18"/>
          <w:szCs w:val="18"/>
          <w:u w:val="single" w:color="auto"/>
          <w:color w:val="0000FF"/>
        </w:rPr>
      </w:pPr>
      <w:hyperlink w:anchor="page147">
        <w:r>
          <w:rPr>
            <w:rFonts w:ascii="Times New Roman" w:cs="Times New Roman" w:eastAsia="Times New Roman" w:hAnsi="Times New Roman"/>
            <w:sz w:val="18"/>
            <w:szCs w:val="18"/>
            <w:u w:val="single" w:color="auto"/>
            <w:color w:val="0000FF"/>
          </w:rPr>
          <w:t>Certifications of Chief Executive Officer and Chief Financial Officer pursuant to 18 U.S.C. Section 1350 as adopted pursuant to Section 906</w:t>
        </w:r>
      </w:hyperlink>
      <w:r>
        <w:rPr>
          <w:rFonts w:ascii="Times New Roman" w:cs="Times New Roman" w:eastAsia="Times New Roman" w:hAnsi="Times New Roman"/>
          <w:sz w:val="18"/>
          <w:szCs w:val="18"/>
          <w:u w:val="single" w:color="auto"/>
          <w:color w:val="0000FF"/>
        </w:rPr>
        <w:t xml:space="preserve"> </w:t>
      </w:r>
      <w:hyperlink w:anchor="page147">
        <w:r>
          <w:rPr>
            <w:rFonts w:ascii="Times New Roman" w:cs="Times New Roman" w:eastAsia="Times New Roman" w:hAnsi="Times New Roman"/>
            <w:sz w:val="18"/>
            <w:szCs w:val="18"/>
            <w:u w:val="single" w:color="auto"/>
            <w:color w:val="0000FF"/>
          </w:rPr>
          <w:t>of the Sarbanes-Oxley Act of 2002.</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578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9">
                      <a:extLst>
                        <a:ext uri="{28A0092B-C50C-407E-A947-70E740481C1C}"/>
                      </a:extLst>
                    </a:blip>
                    <a:srcRect/>
                    <a:stretch>
                      <a:fillRect/>
                    </a:stretch>
                  </pic:blipFill>
                  <pic:spPr bwMode="auto">
                    <a:xfrm>
                      <a:off x="0" y="0"/>
                      <a:ext cx="7246620" cy="857885"/>
                    </a:xfrm>
                    <a:prstGeom prst="rect">
                      <a:avLst/>
                    </a:prstGeom>
                    <a:noFill/>
                  </pic:spPr>
                </pic:pic>
              </a:graphicData>
            </a:graphic>
          </wp:anchor>
        </w:drawing>
      </w:r>
    </w:p>
    <w:p>
      <w:pPr>
        <w:jc w:val="both"/>
        <w:ind w:left="1180" w:hanging="787"/>
        <w:spacing w:after="0" w:line="255" w:lineRule="auto"/>
        <w:tabs>
          <w:tab w:leader="none" w:pos="11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information from the Company’s Year End Report on Form 10-K for the year ended July 31, 2017 formatted in eXtensible Business Reporting Language: (i) Consolidated Balance Sheets as of July 31, 2017 and July 31, 2016; (ii) Consolidated Statements of Operations as of July 31, 2017, July 31, 2016 and July 31, 2015; (iii) Consolidated Statements of Comprehensive Income as of July 31, 2017, July 31, 2016 and July 31, 2015; (iv) Consolidated Statements of Stockholders’ Equity as of July 31, 2017, July 31, 2016 and July 31, 2015</w:t>
      </w:r>
    </w:p>
    <w:p>
      <w:pPr>
        <w:spacing w:after="0" w:line="2" w:lineRule="exact"/>
        <w:rPr>
          <w:rFonts w:ascii="Times New Roman" w:cs="Times New Roman" w:eastAsia="Times New Roman" w:hAnsi="Times New Roman"/>
          <w:sz w:val="18"/>
          <w:szCs w:val="18"/>
          <w:color w:val="auto"/>
        </w:rPr>
      </w:pPr>
    </w:p>
    <w:p>
      <w:pPr>
        <w:ind w:left="11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Consolidated Statements of Cash Flows as of July 31, 2017, July 31, 2016 and July 31, 2015; and (vi) Notes to the Consolidated Financial Statements.</w:t>
      </w:r>
    </w:p>
    <w:p>
      <w:pPr>
        <w:spacing w:after="0" w:line="7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*Management contracts and compensatory plans and arrangements.</w:t>
      </w:r>
    </w:p>
    <w:p>
      <w:pPr>
        <w:sectPr>
          <w:pgSz w:w="11900" w:h="16838" w:orient="portrait"/>
          <w:cols w:equalWidth="0" w:num="1">
            <w:col w:w="11400"/>
          </w:cols>
          <w:pgMar w:left="240" w:top="1171" w:right="259" w:bottom="858" w:gutter="0" w:footer="0" w:header="0"/>
          <w:type w:val="continuous"/>
        </w:sectPr>
      </w:pPr>
    </w:p>
    <w:p>
      <w:pPr>
        <w:spacing w:after="0" w:line="252"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100</w:t>
      </w:r>
    </w:p>
    <w:p>
      <w:pPr>
        <w:sectPr>
          <w:pgSz w:w="11900" w:h="16838" w:orient="portrait"/>
          <w:cols w:equalWidth="0" w:num="1">
            <w:col w:w="11400"/>
          </w:cols>
          <w:pgMar w:left="240" w:top="1171" w:right="259" w:bottom="858" w:gutter="0" w:footer="0" w:header="0"/>
          <w:type w:val="continuous"/>
        </w:sectPr>
      </w:pPr>
    </w:p>
    <w:bookmarkStart w:id="102" w:name="page103"/>
    <w:bookmarkEnd w:id="10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0219"/>
          </w:cols>
          <w:pgMar w:left="240" w:top="1306"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97"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28, 2017</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Vail Resorts, Inc.</w:t>
            </w:r>
          </w:p>
        </w:tc>
      </w:tr>
      <w:tr>
        <w:trPr>
          <w:trHeight w:val="594"/>
        </w:trPr>
        <w:tc>
          <w:tcPr>
            <w:tcW w:w="4760" w:type="dxa"/>
            <w:vAlign w:val="bottom"/>
          </w:tcPr>
          <w:p>
            <w:pPr>
              <w:ind w:left="428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Michael Z. Barkin</w:t>
            </w:r>
          </w:p>
        </w:tc>
      </w:tr>
      <w:tr>
        <w:trPr>
          <w:trHeight w:val="27"/>
        </w:trPr>
        <w:tc>
          <w:tcPr>
            <w:tcW w:w="476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37"/>
        </w:trPr>
        <w:tc>
          <w:tcPr>
            <w:tcW w:w="476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Z. Barkin</w:t>
            </w:r>
          </w:p>
        </w:tc>
      </w:tr>
      <w:tr>
        <w:trPr>
          <w:trHeight w:val="252"/>
        </w:trPr>
        <w:tc>
          <w:tcPr>
            <w:tcW w:w="4760" w:type="dxa"/>
            <w:vAlign w:val="bottom"/>
          </w:tcPr>
          <w:p>
            <w:pPr>
              <w:spacing w:after="0"/>
              <w:rPr>
                <w:sz w:val="21"/>
                <w:szCs w:val="21"/>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w:t>
            </w:r>
          </w:p>
        </w:tc>
      </w:tr>
      <w:tr>
        <w:trPr>
          <w:trHeight w:val="216"/>
        </w:trPr>
        <w:tc>
          <w:tcPr>
            <w:tcW w:w="476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476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59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28, 2017</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Vail Resorts, Inc.</w:t>
            </w:r>
          </w:p>
        </w:tc>
      </w:tr>
      <w:tr>
        <w:trPr>
          <w:trHeight w:val="594"/>
        </w:trPr>
        <w:tc>
          <w:tcPr>
            <w:tcW w:w="4760" w:type="dxa"/>
            <w:vAlign w:val="bottom"/>
          </w:tcPr>
          <w:p>
            <w:pPr>
              <w:ind w:left="428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Ryan H. Siurek</w:t>
            </w:r>
          </w:p>
        </w:tc>
      </w:tr>
      <w:tr>
        <w:trPr>
          <w:trHeight w:val="27"/>
        </w:trPr>
        <w:tc>
          <w:tcPr>
            <w:tcW w:w="476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37"/>
        </w:trPr>
        <w:tc>
          <w:tcPr>
            <w:tcW w:w="476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Ryan H. Siurek</w:t>
            </w:r>
          </w:p>
        </w:tc>
      </w:tr>
      <w:tr>
        <w:trPr>
          <w:trHeight w:val="252"/>
        </w:trPr>
        <w:tc>
          <w:tcPr>
            <w:tcW w:w="4760" w:type="dxa"/>
            <w:vAlign w:val="bottom"/>
          </w:tcPr>
          <w:p>
            <w:pPr>
              <w:spacing w:after="0"/>
              <w:rPr>
                <w:sz w:val="21"/>
                <w:szCs w:val="21"/>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Controller and</w:t>
            </w:r>
          </w:p>
        </w:tc>
      </w:tr>
      <w:tr>
        <w:trPr>
          <w:trHeight w:val="216"/>
        </w:trPr>
        <w:tc>
          <w:tcPr>
            <w:tcW w:w="476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Accounting Officer</w:t>
            </w:r>
          </w:p>
        </w:tc>
      </w:tr>
      <w:tr>
        <w:trPr>
          <w:trHeight w:val="234"/>
        </w:trPr>
        <w:tc>
          <w:tcPr>
            <w:tcW w:w="476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Michael Z. Barkin or Ryan H. Siurek his or her true and lawful attorney-in-fact and agent, with full power of substitution and resubstitution, for him or her and in his or her name, place and stead, in any and all capacities, to sign any or all amendments or supplements to this Form 10-K and to file the same with all exhibits thereto and other documents in connection therewith, with the Securities and Exchange Commission, granting unto said attorney-in-fact and agent full power and authority to do and perform each and every act and thing necessary or appropriate to be done with this Form 10-K and any amendments or supplements hereto, as fully to all intents and purposes as he or she might or could do in person, hereby ratifying and confirming all that said attorney-in-fact and agent, or their substitute or substitutes, may lawfully do or cause to be done by virtue hereof.</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September 28, 2017.</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420"/>
          </w:cols>
          <w:pgMar w:left="240" w:top="1008" w:right="239" w:bottom="1440" w:gutter="0" w:footer="0" w:header="0"/>
        </w:sectPr>
      </w:pPr>
    </w:p>
    <w:bookmarkStart w:id="104" w:name="page105"/>
    <w:bookmarkEnd w:id="104"/>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/s/ Robert A. Katz</w:t>
            </w:r>
          </w:p>
        </w:tc>
        <w:tc>
          <w:tcPr>
            <w:tcW w:w="632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Chief Executive Officer and Chairman of the Board</w:t>
            </w:r>
          </w:p>
        </w:tc>
        <w:tc>
          <w:tcPr>
            <w:tcW w:w="0" w:type="dxa"/>
            <w:vAlign w:val="bottom"/>
          </w:tcPr>
          <w:p>
            <w:pPr>
              <w:spacing w:after="0"/>
              <w:rPr>
                <w:sz w:val="1"/>
                <w:szCs w:val="1"/>
                <w:color w:val="auto"/>
              </w:rPr>
            </w:pPr>
          </w:p>
        </w:tc>
      </w:tr>
      <w:tr>
        <w:trPr>
          <w:trHeight w:val="27"/>
        </w:trPr>
        <w:tc>
          <w:tcPr>
            <w:tcW w:w="4440" w:type="dxa"/>
            <w:vAlign w:val="bottom"/>
            <w:tcBorders>
              <w:bottom w:val="single" w:sz="8" w:color="auto"/>
            </w:tcBorders>
          </w:tcPr>
          <w:p>
            <w:pPr>
              <w:spacing w:after="0"/>
              <w:rPr>
                <w:sz w:val="2"/>
                <w:szCs w:val="2"/>
                <w:color w:val="auto"/>
              </w:rPr>
            </w:pPr>
          </w:p>
        </w:tc>
        <w:tc>
          <w:tcPr>
            <w:tcW w:w="6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8"/>
              </w:rPr>
              <w:t>Robert A. Katz</w:t>
            </w:r>
          </w:p>
        </w:tc>
        <w:tc>
          <w:tcPr>
            <w:tcW w:w="632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594"/>
        </w:trPr>
        <w:tc>
          <w:tcPr>
            <w:tcW w:w="44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/s/ Michael Z. Barkin</w:t>
            </w:r>
          </w:p>
        </w:tc>
        <w:tc>
          <w:tcPr>
            <w:tcW w:w="6320" w:type="dxa"/>
            <w:vAlign w:val="bottom"/>
            <w:vMerge w:val="restart"/>
          </w:tcPr>
          <w:p>
            <w:pPr>
              <w:jc w:val="center"/>
              <w:ind w:left="950"/>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c>
          <w:tcPr>
            <w:tcW w:w="0" w:type="dxa"/>
            <w:vAlign w:val="bottom"/>
          </w:tcPr>
          <w:p>
            <w:pPr>
              <w:spacing w:after="0"/>
              <w:rPr>
                <w:sz w:val="1"/>
                <w:szCs w:val="1"/>
                <w:color w:val="auto"/>
              </w:rPr>
            </w:pPr>
          </w:p>
        </w:tc>
      </w:tr>
      <w:tr>
        <w:trPr>
          <w:trHeight w:val="81"/>
        </w:trPr>
        <w:tc>
          <w:tcPr>
            <w:tcW w:w="4440" w:type="dxa"/>
            <w:vAlign w:val="bottom"/>
          </w:tcPr>
          <w:p>
            <w:pPr>
              <w:spacing w:after="0"/>
              <w:rPr>
                <w:sz w:val="7"/>
                <w:szCs w:val="7"/>
                <w:color w:val="auto"/>
              </w:rPr>
            </w:pPr>
          </w:p>
        </w:tc>
        <w:tc>
          <w:tcPr>
            <w:tcW w:w="6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440" w:type="dxa"/>
            <w:vAlign w:val="bottom"/>
            <w:tcBorders>
              <w:bottom w:val="single" w:sz="8" w:color="auto"/>
            </w:tcBorders>
          </w:tcPr>
          <w:p>
            <w:pPr>
              <w:spacing w:after="0"/>
              <w:rPr>
                <w:sz w:val="9"/>
                <w:szCs w:val="9"/>
                <w:color w:val="auto"/>
              </w:rPr>
            </w:pPr>
          </w:p>
        </w:tc>
        <w:tc>
          <w:tcPr>
            <w:tcW w:w="6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444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Michael Z. Barkin</w:t>
            </w:r>
          </w:p>
        </w:tc>
        <w:tc>
          <w:tcPr>
            <w:tcW w:w="632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0" w:type="dxa"/>
            <w:vAlign w:val="bottom"/>
          </w:tcPr>
          <w:p>
            <w:pPr>
              <w:spacing w:after="0"/>
              <w:rPr>
                <w:sz w:val="1"/>
                <w:szCs w:val="1"/>
                <w:color w:val="auto"/>
              </w:rPr>
            </w:pPr>
          </w:p>
        </w:tc>
      </w:tr>
      <w:tr>
        <w:trPr>
          <w:trHeight w:val="594"/>
        </w:trPr>
        <w:tc>
          <w:tcPr>
            <w:tcW w:w="444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/s/ Ryan H. Siurek</w:t>
            </w:r>
          </w:p>
        </w:tc>
        <w:tc>
          <w:tcPr>
            <w:tcW w:w="6320" w:type="dxa"/>
            <w:vAlign w:val="bottom"/>
            <w:vMerge w:val="restart"/>
          </w:tcPr>
          <w:p>
            <w:pPr>
              <w:jc w:val="center"/>
              <w:ind w:left="950"/>
              <w:spacing w:after="0"/>
              <w:rPr>
                <w:sz w:val="20"/>
                <w:szCs w:val="20"/>
                <w:color w:val="auto"/>
              </w:rPr>
            </w:pPr>
            <w:r>
              <w:rPr>
                <w:rFonts w:ascii="Times New Roman" w:cs="Times New Roman" w:eastAsia="Times New Roman" w:hAnsi="Times New Roman"/>
                <w:sz w:val="18"/>
                <w:szCs w:val="18"/>
                <w:color w:val="auto"/>
                <w:w w:val="99"/>
              </w:rPr>
              <w:t>Vice President, Controller and Chief Accounting Officer</w:t>
            </w:r>
          </w:p>
        </w:tc>
        <w:tc>
          <w:tcPr>
            <w:tcW w:w="0" w:type="dxa"/>
            <w:vAlign w:val="bottom"/>
          </w:tcPr>
          <w:p>
            <w:pPr>
              <w:spacing w:after="0"/>
              <w:rPr>
                <w:sz w:val="1"/>
                <w:szCs w:val="1"/>
                <w:color w:val="auto"/>
              </w:rPr>
            </w:pPr>
          </w:p>
        </w:tc>
      </w:tr>
      <w:tr>
        <w:trPr>
          <w:trHeight w:val="81"/>
        </w:trPr>
        <w:tc>
          <w:tcPr>
            <w:tcW w:w="4440" w:type="dxa"/>
            <w:vAlign w:val="bottom"/>
          </w:tcPr>
          <w:p>
            <w:pPr>
              <w:spacing w:after="0"/>
              <w:rPr>
                <w:sz w:val="7"/>
                <w:szCs w:val="7"/>
                <w:color w:val="auto"/>
              </w:rPr>
            </w:pPr>
          </w:p>
        </w:tc>
        <w:tc>
          <w:tcPr>
            <w:tcW w:w="6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440" w:type="dxa"/>
            <w:vAlign w:val="bottom"/>
            <w:tcBorders>
              <w:bottom w:val="single" w:sz="8" w:color="auto"/>
            </w:tcBorders>
          </w:tcPr>
          <w:p>
            <w:pPr>
              <w:spacing w:after="0"/>
              <w:rPr>
                <w:sz w:val="9"/>
                <w:szCs w:val="9"/>
                <w:color w:val="auto"/>
              </w:rPr>
            </w:pPr>
          </w:p>
        </w:tc>
        <w:tc>
          <w:tcPr>
            <w:tcW w:w="6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444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Ryan H. Siurek</w:t>
            </w:r>
          </w:p>
        </w:tc>
        <w:tc>
          <w:tcPr>
            <w:tcW w:w="632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0" w:type="dxa"/>
            <w:vAlign w:val="bottom"/>
          </w:tcPr>
          <w:p>
            <w:pPr>
              <w:spacing w:after="0"/>
              <w:rPr>
                <w:sz w:val="1"/>
                <w:szCs w:val="1"/>
                <w:color w:val="auto"/>
              </w:rPr>
            </w:pPr>
          </w:p>
        </w:tc>
      </w:tr>
      <w:tr>
        <w:trPr>
          <w:trHeight w:val="567"/>
        </w:trPr>
        <w:tc>
          <w:tcPr>
            <w:tcW w:w="444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/s/ Susan L. Decker</w:t>
            </w:r>
          </w:p>
        </w:tc>
        <w:tc>
          <w:tcPr>
            <w:tcW w:w="6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40" w:type="dxa"/>
            <w:vAlign w:val="bottom"/>
            <w:tcBorders>
              <w:bottom w:val="single" w:sz="8" w:color="auto"/>
            </w:tcBorders>
          </w:tcPr>
          <w:p>
            <w:pPr>
              <w:spacing w:after="0"/>
              <w:rPr>
                <w:sz w:val="2"/>
                <w:szCs w:val="2"/>
                <w:color w:val="auto"/>
              </w:rPr>
            </w:pPr>
          </w:p>
        </w:tc>
        <w:tc>
          <w:tcPr>
            <w:tcW w:w="6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Susan L. Decker</w:t>
            </w:r>
          </w:p>
        </w:tc>
        <w:tc>
          <w:tcPr>
            <w:tcW w:w="632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567"/>
        </w:trPr>
        <w:tc>
          <w:tcPr>
            <w:tcW w:w="44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/s/ Roland A. Hernandez</w:t>
            </w:r>
          </w:p>
        </w:tc>
        <w:tc>
          <w:tcPr>
            <w:tcW w:w="6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40" w:type="dxa"/>
            <w:vAlign w:val="bottom"/>
            <w:tcBorders>
              <w:bottom w:val="single" w:sz="8" w:color="auto"/>
            </w:tcBorders>
          </w:tcPr>
          <w:p>
            <w:pPr>
              <w:spacing w:after="0"/>
              <w:rPr>
                <w:sz w:val="2"/>
                <w:szCs w:val="2"/>
                <w:color w:val="auto"/>
              </w:rPr>
            </w:pPr>
          </w:p>
        </w:tc>
        <w:tc>
          <w:tcPr>
            <w:tcW w:w="6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Roland A. Hernandez</w:t>
            </w:r>
          </w:p>
        </w:tc>
        <w:tc>
          <w:tcPr>
            <w:tcW w:w="632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594"/>
        </w:trPr>
        <w:tc>
          <w:tcPr>
            <w:tcW w:w="444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8"/>
              </w:rPr>
              <w:t>/s/ John T. Redmond</w:t>
            </w:r>
          </w:p>
        </w:tc>
        <w:tc>
          <w:tcPr>
            <w:tcW w:w="6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40" w:type="dxa"/>
            <w:vAlign w:val="bottom"/>
            <w:tcBorders>
              <w:bottom w:val="single" w:sz="8" w:color="auto"/>
            </w:tcBorders>
          </w:tcPr>
          <w:p>
            <w:pPr>
              <w:spacing w:after="0"/>
              <w:rPr>
                <w:sz w:val="2"/>
                <w:szCs w:val="2"/>
                <w:color w:val="auto"/>
              </w:rPr>
            </w:pPr>
          </w:p>
        </w:tc>
        <w:tc>
          <w:tcPr>
            <w:tcW w:w="6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John T. Redmond</w:t>
            </w:r>
          </w:p>
        </w:tc>
        <w:tc>
          <w:tcPr>
            <w:tcW w:w="632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594"/>
        </w:trPr>
        <w:tc>
          <w:tcPr>
            <w:tcW w:w="444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/s/ Michele Romanow</w:t>
            </w:r>
          </w:p>
        </w:tc>
        <w:tc>
          <w:tcPr>
            <w:tcW w:w="6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40" w:type="dxa"/>
            <w:vAlign w:val="bottom"/>
            <w:tcBorders>
              <w:bottom w:val="single" w:sz="8" w:color="auto"/>
            </w:tcBorders>
          </w:tcPr>
          <w:p>
            <w:pPr>
              <w:spacing w:after="0"/>
              <w:rPr>
                <w:sz w:val="2"/>
                <w:szCs w:val="2"/>
                <w:color w:val="auto"/>
              </w:rPr>
            </w:pPr>
          </w:p>
        </w:tc>
        <w:tc>
          <w:tcPr>
            <w:tcW w:w="6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8"/>
              </w:rPr>
              <w:t>Michele Romanow</w:t>
            </w:r>
          </w:p>
        </w:tc>
        <w:tc>
          <w:tcPr>
            <w:tcW w:w="632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567"/>
        </w:trPr>
        <w:tc>
          <w:tcPr>
            <w:tcW w:w="44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/s/ Hilary A. Schneider</w:t>
            </w:r>
          </w:p>
        </w:tc>
        <w:tc>
          <w:tcPr>
            <w:tcW w:w="6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40" w:type="dxa"/>
            <w:vAlign w:val="bottom"/>
            <w:tcBorders>
              <w:bottom w:val="single" w:sz="8" w:color="auto"/>
            </w:tcBorders>
          </w:tcPr>
          <w:p>
            <w:pPr>
              <w:spacing w:after="0"/>
              <w:rPr>
                <w:sz w:val="2"/>
                <w:szCs w:val="2"/>
                <w:color w:val="auto"/>
              </w:rPr>
            </w:pPr>
          </w:p>
        </w:tc>
        <w:tc>
          <w:tcPr>
            <w:tcW w:w="6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Hilary A. Schneider</w:t>
            </w:r>
          </w:p>
        </w:tc>
        <w:tc>
          <w:tcPr>
            <w:tcW w:w="632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594"/>
        </w:trPr>
        <w:tc>
          <w:tcPr>
            <w:tcW w:w="444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/s/ D. Bruce Sewell</w:t>
            </w:r>
          </w:p>
        </w:tc>
        <w:tc>
          <w:tcPr>
            <w:tcW w:w="6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40" w:type="dxa"/>
            <w:vAlign w:val="bottom"/>
            <w:tcBorders>
              <w:bottom w:val="single" w:sz="8" w:color="auto"/>
            </w:tcBorders>
          </w:tcPr>
          <w:p>
            <w:pPr>
              <w:spacing w:after="0"/>
              <w:rPr>
                <w:sz w:val="2"/>
                <w:szCs w:val="2"/>
                <w:color w:val="auto"/>
              </w:rPr>
            </w:pPr>
          </w:p>
        </w:tc>
        <w:tc>
          <w:tcPr>
            <w:tcW w:w="6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D. Bruce Sewell</w:t>
            </w:r>
          </w:p>
        </w:tc>
        <w:tc>
          <w:tcPr>
            <w:tcW w:w="632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567"/>
        </w:trPr>
        <w:tc>
          <w:tcPr>
            <w:tcW w:w="444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/s/ John F. Sorte</w:t>
            </w:r>
          </w:p>
        </w:tc>
        <w:tc>
          <w:tcPr>
            <w:tcW w:w="6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40" w:type="dxa"/>
            <w:vAlign w:val="bottom"/>
            <w:tcBorders>
              <w:bottom w:val="single" w:sz="8" w:color="auto"/>
            </w:tcBorders>
          </w:tcPr>
          <w:p>
            <w:pPr>
              <w:spacing w:after="0"/>
              <w:rPr>
                <w:sz w:val="2"/>
                <w:szCs w:val="2"/>
                <w:color w:val="auto"/>
              </w:rPr>
            </w:pPr>
          </w:p>
        </w:tc>
        <w:tc>
          <w:tcPr>
            <w:tcW w:w="6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8"/>
              </w:rPr>
              <w:t>John F. Sorte</w:t>
            </w:r>
          </w:p>
        </w:tc>
        <w:tc>
          <w:tcPr>
            <w:tcW w:w="632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567"/>
        </w:trPr>
        <w:tc>
          <w:tcPr>
            <w:tcW w:w="444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8"/>
              </w:rPr>
              <w:t>/s/ Peter A. Vaughn</w:t>
            </w:r>
          </w:p>
        </w:tc>
        <w:tc>
          <w:tcPr>
            <w:tcW w:w="6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40" w:type="dxa"/>
            <w:vAlign w:val="bottom"/>
            <w:tcBorders>
              <w:bottom w:val="single" w:sz="8" w:color="auto"/>
            </w:tcBorders>
          </w:tcPr>
          <w:p>
            <w:pPr>
              <w:spacing w:after="0"/>
              <w:rPr>
                <w:sz w:val="2"/>
                <w:szCs w:val="2"/>
                <w:color w:val="auto"/>
              </w:rPr>
            </w:pPr>
          </w:p>
        </w:tc>
        <w:tc>
          <w:tcPr>
            <w:tcW w:w="6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Peter A. Vaughn</w:t>
            </w:r>
          </w:p>
        </w:tc>
        <w:tc>
          <w:tcPr>
            <w:tcW w:w="632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486"/>
        </w:trPr>
        <w:tc>
          <w:tcPr>
            <w:tcW w:w="4440" w:type="dxa"/>
            <w:vAlign w:val="bottom"/>
          </w:tcPr>
          <w:p>
            <w:pPr>
              <w:spacing w:after="0"/>
              <w:rPr>
                <w:sz w:val="24"/>
                <w:szCs w:val="24"/>
                <w:color w:val="auto"/>
              </w:rPr>
            </w:pPr>
          </w:p>
        </w:tc>
        <w:tc>
          <w:tcPr>
            <w:tcW w:w="6320" w:type="dxa"/>
            <w:vAlign w:val="bottom"/>
          </w:tcPr>
          <w:p>
            <w:pPr>
              <w:jc w:val="right"/>
              <w:ind w:right="517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bl>
    <w:p>
      <w:pPr>
        <w:sectPr>
          <w:pgSz w:w="11900" w:h="16838" w:orient="portrait"/>
          <w:cols w:equalWidth="0" w:num="1">
            <w:col w:w="10760"/>
          </w:cols>
          <w:pgMar w:left="580" w:top="1440" w:right="55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ectPr>
          <w:pgSz w:w="11900" w:h="16838" w:orient="portrait"/>
          <w:cols w:equalWidth="0" w:num="1">
            <w:col w:w="11420"/>
          </w:cols>
          <w:pgMar w:left="240" w:top="576" w:right="239" w:bottom="1440" w:gutter="0" w:footer="0" w:header="0"/>
        </w:sectPr>
      </w:pP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Authorization ID: ELD508901</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Contact ID: HEAVENLY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FS-2700-5b (8/99)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OMB No 0596 - 0082</w:t>
      </w:r>
    </w:p>
    <w:p>
      <w:pPr>
        <w:spacing w:after="0" w:line="55" w:lineRule="exact"/>
        <w:rPr>
          <w:sz w:val="20"/>
          <w:szCs w:val="20"/>
          <w:color w:val="auto"/>
        </w:rPr>
      </w:pPr>
    </w:p>
    <w:p>
      <w:pPr>
        <w:sectPr>
          <w:pgSz w:w="11900" w:h="16838" w:orient="portrait"/>
          <w:cols w:equalWidth="0" w:num="2">
            <w:col w:w="5480" w:space="720"/>
            <w:col w:w="5220"/>
          </w:cols>
          <w:pgMar w:left="240" w:top="576"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Expiration Date: 05/01/2042</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Use Code: 161</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U.S. DEPARTMENT OF AGRICULTURE</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Forest Service</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SKI AREA TERM SPECIAL USE PERMIT</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AUTHORITY:</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SKI AREA PERMIT ACT October 22, 1986</w:t>
      </w:r>
    </w:p>
    <w:p>
      <w:pPr>
        <w:sectPr>
          <w:pgSz w:w="11900" w:h="16838" w:orient="portrait"/>
          <w:cols w:equalWidth="0" w:num="1">
            <w:col w:w="11420"/>
          </w:cols>
          <w:pgMar w:left="240" w:top="576" w:right="239" w:bottom="1440" w:gutter="0" w:footer="0" w:header="0"/>
          <w:type w:val="continuous"/>
        </w:sectPr>
      </w:pPr>
    </w:p>
    <w:p>
      <w:pPr>
        <w:spacing w:after="0" w:line="207"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22"/>
          <w:szCs w:val="22"/>
          <w:color w:val="auto"/>
        </w:rPr>
        <w:t>HEAVENLY VALLEY, LIMITED PARTNERSHIP, a Nevada limited partnership, P.O. BOX 2180, STATELINE, NV, 89449 (hereafter called the holder) is hereby authorized to use National Forest System lands, on the Lake Tahoe Basin Management Unit, for the purposes of constructing, operating, and maintaining a winter sports resort including food service, retail sales, and other ancillary facilities, described herein, known as the Heavenly ski area and subject to the provisions of this term permit. This permit covers 7,050 acres described here as National Forest lands within T.13N., R.19E., Sections 28, 29, 30, 31, 32, T.13N., R.18E., Sections 25, 26, 35 and 36, T.12N., R.18E., Section 1, and 650 within the Toyiabe National Forest described as T.12N., R.19E., a portion of Sections 6 and 7, as shown on the attached map (Exhibit B) dated April 29, 2002.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improvements, whether on or off the site, are authorized: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See Exhibit A</w:t>
      </w:r>
    </w:p>
    <w:p>
      <w:pPr>
        <w:spacing w:after="0" w:line="220"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22"/>
          <w:szCs w:val="22"/>
          <w:color w:val="auto"/>
        </w:rPr>
        <w:t>Attached Clauses. This term permit is accepted subject to the conditions set forth herein on pages 2 through 17 and to exhibits A to B attached or referenced hereto and made a part of this permit.</w:t>
      </w:r>
    </w:p>
    <w:p>
      <w:pPr>
        <w:spacing w:after="0" w:line="158"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22"/>
          <w:szCs w:val="22"/>
          <w:color w:val="auto"/>
        </w:rPr>
        <w:t>The Heavenly Ski Resort Master Plan dated June 1996, adopted by the Tahoe Regional Planning Agency on June 26, 1996 and Approved by the Forest Service Record of Decision on August 20, 1996 is continued under this permit.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PERMIT IS ACCEPTED SUBJECT TO ALL OF ITS TERMS AND CONDITIONS: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140" w:type="dxa"/>
            <w:vAlign w:val="bottom"/>
          </w:tcPr>
          <w:p>
            <w:pPr>
              <w:spacing w:after="0"/>
              <w:rPr>
                <w:sz w:val="24"/>
                <w:szCs w:val="24"/>
                <w:color w:val="auto"/>
              </w:rPr>
            </w:pPr>
          </w:p>
        </w:tc>
        <w:tc>
          <w:tcPr>
            <w:tcW w:w="88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/s/ Martha D. Rehm</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7, 2002</w:t>
            </w:r>
          </w:p>
        </w:tc>
      </w:tr>
      <w:tr>
        <w:trPr>
          <w:trHeight w:val="243"/>
        </w:trPr>
        <w:tc>
          <w:tcPr>
            <w:tcW w:w="140" w:type="dxa"/>
            <w:vAlign w:val="bottom"/>
          </w:tcPr>
          <w:p>
            <w:pPr>
              <w:spacing w:after="0"/>
              <w:rPr>
                <w:sz w:val="21"/>
                <w:szCs w:val="21"/>
                <w:color w:val="auto"/>
              </w:rPr>
            </w:pPr>
          </w:p>
        </w:tc>
        <w:tc>
          <w:tcPr>
            <w:tcW w:w="6600" w:type="dxa"/>
            <w:vAlign w:val="bottom"/>
            <w:tcBorders>
              <w:top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HEAVENLY VALLEY, LIMITED PARTNERSHIP</w:t>
            </w:r>
          </w:p>
        </w:tc>
        <w:tc>
          <w:tcPr>
            <w:tcW w:w="2220" w:type="dxa"/>
            <w:vAlign w:val="bottom"/>
          </w:tcPr>
          <w:p>
            <w:pPr>
              <w:spacing w:after="0"/>
              <w:rPr>
                <w:sz w:val="21"/>
                <w:szCs w:val="21"/>
                <w:color w:val="auto"/>
              </w:rPr>
            </w:pPr>
          </w:p>
        </w:tc>
        <w:tc>
          <w:tcPr>
            <w:tcW w:w="2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DATE</w:t>
            </w:r>
          </w:p>
        </w:tc>
      </w:tr>
      <w:tr>
        <w:trPr>
          <w:trHeight w:val="243"/>
        </w:trPr>
        <w:tc>
          <w:tcPr>
            <w:tcW w:w="140" w:type="dxa"/>
            <w:vAlign w:val="bottom"/>
          </w:tcPr>
          <w:p>
            <w:pPr>
              <w:spacing w:after="0"/>
              <w:rPr>
                <w:sz w:val="21"/>
                <w:szCs w:val="21"/>
                <w:color w:val="auto"/>
              </w:rPr>
            </w:pPr>
          </w:p>
        </w:tc>
        <w:tc>
          <w:tcPr>
            <w:tcW w:w="882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By: VR Heavenly I, Inc., Its General Partner</w:t>
            </w:r>
          </w:p>
        </w:tc>
        <w:tc>
          <w:tcPr>
            <w:tcW w:w="2340" w:type="dxa"/>
            <w:vAlign w:val="bottom"/>
          </w:tcPr>
          <w:p>
            <w:pPr>
              <w:spacing w:after="0"/>
              <w:rPr>
                <w:sz w:val="21"/>
                <w:szCs w:val="21"/>
                <w:color w:val="auto"/>
              </w:rPr>
            </w:pPr>
          </w:p>
        </w:tc>
      </w:tr>
      <w:tr>
        <w:trPr>
          <w:trHeight w:val="283"/>
        </w:trPr>
        <w:tc>
          <w:tcPr>
            <w:tcW w:w="140" w:type="dxa"/>
            <w:vAlign w:val="bottom"/>
          </w:tcPr>
          <w:p>
            <w:pPr>
              <w:spacing w:after="0"/>
              <w:rPr>
                <w:sz w:val="24"/>
                <w:szCs w:val="24"/>
                <w:color w:val="auto"/>
              </w:rPr>
            </w:pPr>
          </w:p>
        </w:tc>
        <w:tc>
          <w:tcPr>
            <w:tcW w:w="88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By: Martha D. Rehm, Vice President</w:t>
            </w:r>
          </w:p>
        </w:tc>
        <w:tc>
          <w:tcPr>
            <w:tcW w:w="2340" w:type="dxa"/>
            <w:vAlign w:val="bottom"/>
          </w:tcPr>
          <w:p>
            <w:pPr>
              <w:spacing w:after="0"/>
              <w:rPr>
                <w:sz w:val="24"/>
                <w:szCs w:val="24"/>
                <w:color w:val="auto"/>
              </w:rPr>
            </w:pPr>
          </w:p>
        </w:tc>
      </w:tr>
      <w:tr>
        <w:trPr>
          <w:trHeight w:val="783"/>
        </w:trPr>
        <w:tc>
          <w:tcPr>
            <w:tcW w:w="89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APPROVED:</w:t>
            </w:r>
          </w:p>
        </w:tc>
        <w:tc>
          <w:tcPr>
            <w:tcW w:w="2340" w:type="dxa"/>
            <w:vAlign w:val="bottom"/>
          </w:tcPr>
          <w:p>
            <w:pPr>
              <w:spacing w:after="0"/>
              <w:rPr>
                <w:sz w:val="24"/>
                <w:szCs w:val="24"/>
                <w:color w:val="auto"/>
              </w:rPr>
            </w:pPr>
          </w:p>
        </w:tc>
      </w:tr>
      <w:tr>
        <w:trPr>
          <w:trHeight w:val="670"/>
        </w:trPr>
        <w:tc>
          <w:tcPr>
            <w:tcW w:w="140" w:type="dxa"/>
            <w:vAlign w:val="bottom"/>
          </w:tcPr>
          <w:p>
            <w:pPr>
              <w:spacing w:after="0"/>
              <w:rPr>
                <w:sz w:val="24"/>
                <w:szCs w:val="24"/>
                <w:color w:val="auto"/>
              </w:rPr>
            </w:pPr>
          </w:p>
        </w:tc>
        <w:tc>
          <w:tcPr>
            <w:tcW w:w="88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/s/ Maribeth Gustafson</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7, 2002</w:t>
            </w:r>
          </w:p>
        </w:tc>
      </w:tr>
      <w:tr>
        <w:trPr>
          <w:trHeight w:val="283"/>
        </w:trPr>
        <w:tc>
          <w:tcPr>
            <w:tcW w:w="140" w:type="dxa"/>
            <w:vAlign w:val="bottom"/>
          </w:tcPr>
          <w:p>
            <w:pPr>
              <w:spacing w:after="0"/>
              <w:rPr>
                <w:sz w:val="24"/>
                <w:szCs w:val="24"/>
                <w:color w:val="auto"/>
              </w:rPr>
            </w:pPr>
          </w:p>
        </w:tc>
        <w:tc>
          <w:tcPr>
            <w:tcW w:w="6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MARIBETH GUSTAFSON, Forest Supervisor</w:t>
            </w:r>
          </w:p>
        </w:tc>
        <w:tc>
          <w:tcPr>
            <w:tcW w:w="2220" w:type="dxa"/>
            <w:vAlign w:val="bottom"/>
          </w:tcPr>
          <w:p>
            <w:pPr>
              <w:spacing w:after="0"/>
              <w:rPr>
                <w:sz w:val="24"/>
                <w:szCs w:val="24"/>
                <w:color w:val="auto"/>
              </w:rPr>
            </w:pPr>
          </w:p>
        </w:tc>
        <w:tc>
          <w:tcPr>
            <w:tcW w:w="2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DATE</w:t>
            </w:r>
          </w:p>
        </w:tc>
      </w:tr>
    </w:tbl>
    <w:p>
      <w:pPr>
        <w:sectPr>
          <w:pgSz w:w="11900" w:h="16838" w:orient="portrait"/>
          <w:cols w:equalWidth="0" w:num="1">
            <w:col w:w="11420"/>
          </w:cols>
          <w:pgMar w:left="240" w:top="576" w:right="239" w:bottom="1440" w:gutter="0" w:footer="0" w:header="0"/>
          <w:type w:val="continuous"/>
        </w:sectPr>
      </w:pPr>
    </w:p>
    <w:bookmarkStart w:id="106" w:name="page107"/>
    <w:bookmarkEnd w:id="106"/>
    <w:p>
      <w:pPr>
        <w:ind w:left="4340"/>
        <w:spacing w:after="0"/>
        <w:rPr>
          <w:sz w:val="20"/>
          <w:szCs w:val="20"/>
          <w:color w:val="auto"/>
        </w:rPr>
      </w:pPr>
      <w:r>
        <w:rPr>
          <w:rFonts w:ascii="Times New Roman" w:cs="Times New Roman" w:eastAsia="Times New Roman" w:hAnsi="Times New Roman"/>
          <w:sz w:val="22"/>
          <w:szCs w:val="22"/>
          <w:b w:val="1"/>
          <w:bCs w:val="1"/>
          <w:color w:val="auto"/>
        </w:rPr>
        <w:t>TERMS AND CONDITIONS</w:t>
      </w:r>
    </w:p>
    <w:p>
      <w:pPr>
        <w:spacing w:after="0" w:line="22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22"/>
          <w:szCs w:val="22"/>
          <w:b w:val="1"/>
          <w:bCs w:val="1"/>
          <w:color w:val="auto"/>
        </w:rPr>
        <w:t>I.</w:t>
      </w:r>
      <w:r>
        <w:rPr>
          <w:sz w:val="20"/>
          <w:szCs w:val="20"/>
          <w:color w:val="auto"/>
        </w:rPr>
        <w:tab/>
      </w:r>
      <w:r>
        <w:rPr>
          <w:rFonts w:ascii="Times New Roman" w:cs="Times New Roman" w:eastAsia="Times New Roman" w:hAnsi="Times New Roman"/>
          <w:sz w:val="21"/>
          <w:szCs w:val="21"/>
          <w:b w:val="1"/>
          <w:bCs w:val="1"/>
          <w:color w:val="auto"/>
        </w:rPr>
        <w:t>AUTHORITY AND USE AND TERM AUTHORIZED</w:t>
      </w:r>
    </w:p>
    <w:p>
      <w:pPr>
        <w:spacing w:after="0" w:line="237" w:lineRule="exact"/>
        <w:rPr>
          <w:sz w:val="20"/>
          <w:szCs w:val="20"/>
          <w:color w:val="auto"/>
        </w:rPr>
      </w:pPr>
    </w:p>
    <w:p>
      <w:pPr>
        <w:ind w:right="40" w:firstLine="8"/>
        <w:spacing w:after="0" w:line="284" w:lineRule="auto"/>
        <w:tabs>
          <w:tab w:leader="none" w:pos="39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This term permit is issued under the authority of the Act of October 22, 1986, (Title 16, United States Code, Section 497b), and Title 36, Code of Federal Regulations, Sections 251.50-251.64.</w:t>
      </w:r>
    </w:p>
    <w:p>
      <w:pPr>
        <w:spacing w:after="0" w:line="144" w:lineRule="exact"/>
        <w:rPr>
          <w:rFonts w:ascii="Times New Roman" w:cs="Times New Roman" w:eastAsia="Times New Roman" w:hAnsi="Times New Roman"/>
          <w:sz w:val="22"/>
          <w:szCs w:val="22"/>
          <w:color w:val="auto"/>
        </w:rPr>
      </w:pPr>
    </w:p>
    <w:p>
      <w:pPr>
        <w:ind w:right="200" w:firstLine="8"/>
        <w:spacing w:after="0" w:line="284" w:lineRule="auto"/>
        <w:tabs>
          <w:tab w:leader="none" w:pos="37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Authorized Officer</w:t>
      </w:r>
      <w:r>
        <w:rPr>
          <w:rFonts w:ascii="Times New Roman" w:cs="Times New Roman" w:eastAsia="Times New Roman" w:hAnsi="Times New Roman"/>
          <w:sz w:val="22"/>
          <w:szCs w:val="22"/>
          <w:color w:val="auto"/>
        </w:rPr>
        <w:t>. The authorized officer is the Forest Supervisor. The authorized officer may designate a representative for administration of specific portions of this authorization.</w:t>
      </w:r>
    </w:p>
    <w:p>
      <w:pPr>
        <w:spacing w:after="0" w:line="144" w:lineRule="exact"/>
        <w:rPr>
          <w:rFonts w:ascii="Times New Roman" w:cs="Times New Roman" w:eastAsia="Times New Roman" w:hAnsi="Times New Roman"/>
          <w:sz w:val="22"/>
          <w:szCs w:val="22"/>
          <w:color w:val="auto"/>
        </w:rPr>
      </w:pPr>
    </w:p>
    <w:p>
      <w:pPr>
        <w:ind w:firstLine="8"/>
        <w:spacing w:after="0" w:line="253" w:lineRule="auto"/>
        <w:tabs>
          <w:tab w:leader="none" w:pos="37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Rules Laws and Ordinances</w:t>
      </w:r>
      <w:r>
        <w:rPr>
          <w:rFonts w:ascii="Times New Roman" w:cs="Times New Roman" w:eastAsia="Times New Roman" w:hAnsi="Times New Roman"/>
          <w:sz w:val="22"/>
          <w:szCs w:val="22"/>
          <w:color w:val="auto"/>
        </w:rPr>
        <w:t>. The holder, in exercising the privileges granted by this term permit, shall comply with all present and future regulations of the Secretary of Agriculture and federal laws; and all present and future, state, county, and municipal laws, ordinances, or regulations which are applicable to the area or operations covered by this permit to the extent they are not in conflict with federal law, policy or regulation. The Forest Service assumes no responsibility for enforcing laws, regulations, ordinances and the like which are under the jurisdiction of other government bodies.</w:t>
      </w:r>
    </w:p>
    <w:p>
      <w:pPr>
        <w:spacing w:after="0" w:line="179" w:lineRule="exact"/>
        <w:rPr>
          <w:rFonts w:ascii="Times New Roman" w:cs="Times New Roman" w:eastAsia="Times New Roman" w:hAnsi="Times New Roman"/>
          <w:sz w:val="22"/>
          <w:szCs w:val="22"/>
          <w:color w:val="auto"/>
        </w:rPr>
      </w:pPr>
    </w:p>
    <w:p>
      <w:pPr>
        <w:ind w:right="20" w:firstLine="8"/>
        <w:spacing w:after="0" w:line="253" w:lineRule="auto"/>
        <w:tabs>
          <w:tab w:leader="none" w:pos="39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Unless sooner terminated or revoked by the authorized officer, in accordance with the provisions of the authorization, this permit shall terminate on 05/01/2042, but a new special-use authorization to occupy and use the same National Forest land may be granted provided the holder shall comply with the then-existing laws and regulations governing the occupancy and use of National Forest lands. The holder shall notify the authorized officer in writing not less than six (6) months prior to said date that such new authorization is desired.</w:t>
      </w:r>
    </w:p>
    <w:p>
      <w:pPr>
        <w:spacing w:after="0" w:line="179" w:lineRule="exact"/>
        <w:rPr>
          <w:rFonts w:ascii="Times New Roman" w:cs="Times New Roman" w:eastAsia="Times New Roman" w:hAnsi="Times New Roman"/>
          <w:sz w:val="22"/>
          <w:szCs w:val="22"/>
          <w:color w:val="auto"/>
        </w:rPr>
      </w:pPr>
    </w:p>
    <w:p>
      <w:pPr>
        <w:ind w:right="40" w:firstLine="8"/>
        <w:spacing w:after="0" w:line="309" w:lineRule="auto"/>
        <w:tabs>
          <w:tab w:leader="none" w:pos="366"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Nonexclusive Use</w:t>
      </w:r>
      <w:r>
        <w:rPr>
          <w:rFonts w:ascii="Times New Roman" w:cs="Times New Roman" w:eastAsia="Times New Roman" w:hAnsi="Times New Roman"/>
          <w:sz w:val="21"/>
          <w:szCs w:val="21"/>
          <w:color w:val="auto"/>
        </w:rPr>
        <w:t>. This permit is not exclusive. The Forest Service reserves the right to use or permit others to use any part of the permitted area for any purpose, provided such use does not materially interfere with the rights and privileges hereby authorized.</w:t>
      </w:r>
    </w:p>
    <w:p>
      <w:pPr>
        <w:spacing w:after="0" w:line="120" w:lineRule="exact"/>
        <w:rPr>
          <w:rFonts w:ascii="Times New Roman" w:cs="Times New Roman" w:eastAsia="Times New Roman" w:hAnsi="Times New Roman"/>
          <w:sz w:val="21"/>
          <w:szCs w:val="21"/>
          <w:color w:val="auto"/>
        </w:rPr>
      </w:pPr>
    </w:p>
    <w:p>
      <w:pPr>
        <w:ind w:right="60" w:firstLine="8"/>
        <w:spacing w:after="0" w:line="253" w:lineRule="auto"/>
        <w:tabs>
          <w:tab w:leader="none" w:pos="337"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Area Access</w:t>
      </w:r>
      <w:r>
        <w:rPr>
          <w:rFonts w:ascii="Times New Roman" w:cs="Times New Roman" w:eastAsia="Times New Roman" w:hAnsi="Times New Roman"/>
          <w:sz w:val="22"/>
          <w:szCs w:val="22"/>
          <w:color w:val="auto"/>
        </w:rPr>
        <w:t>. Except for any restrictions as the holder and the authorized officer may agree to be necessary to protect the installation and operation of authorized structures and developments, the lands and waters covered by this permit shall remain open to the public for all lawful purposes. To facilitate public use of this area, all existing roads or roads as may be constructed by the holder, shall remain open to the public, except for roads as may be closed by joint agreement of the holder and the authorized officer.</w:t>
      </w:r>
    </w:p>
    <w:p>
      <w:pPr>
        <w:spacing w:after="0" w:line="179" w:lineRule="exact"/>
        <w:rPr>
          <w:rFonts w:ascii="Times New Roman" w:cs="Times New Roman" w:eastAsia="Times New Roman" w:hAnsi="Times New Roman"/>
          <w:sz w:val="22"/>
          <w:szCs w:val="22"/>
          <w:color w:val="auto"/>
        </w:rPr>
      </w:pPr>
    </w:p>
    <w:p>
      <w:pPr>
        <w:ind w:firstLine="8"/>
        <w:spacing w:after="0" w:line="249" w:lineRule="auto"/>
        <w:tabs>
          <w:tab w:leader="none" w:pos="39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Master Development Plan</w:t>
      </w:r>
      <w:r>
        <w:rPr>
          <w:rFonts w:ascii="Times New Roman" w:cs="Times New Roman" w:eastAsia="Times New Roman" w:hAnsi="Times New Roman"/>
          <w:sz w:val="22"/>
          <w:szCs w:val="22"/>
          <w:color w:val="auto"/>
        </w:rPr>
        <w:t>. In consideration of the privileges authorized by this permit, the holder agrees to prepare and submit changes in the Master Development Plan encompassing the entire winter sports resort presently envisioned for development in connection with the National Forest lands authorized by this permit, and in a form acceptable to the Forest Service. Additional construction beyond maintenance of existing Improvements shall not be authorized until this plan has been amended. Planning should encompass all the area authorized for use by this permit. The accepted Master Development Plan shall become a part of this permit. For planning purposes, a capacity for the ski area in people-at-one time shall be established in the Master Development Plan and appropriate National Environmental Policy Act (NEPA) document. The overall development shall not exceed that capacity without further environmental analysis documentation through the appropriate NEPA process.</w:t>
      </w:r>
    </w:p>
    <w:p>
      <w:pPr>
        <w:sectPr>
          <w:pgSz w:w="11900" w:h="16838" w:orient="portrait"/>
          <w:cols w:equalWidth="0" w:num="1">
            <w:col w:w="11420"/>
          </w:cols>
          <w:pgMar w:left="240" w:top="797" w:right="239" w:bottom="1440" w:gutter="0" w:footer="0" w:header="0"/>
        </w:sectPr>
      </w:pPr>
    </w:p>
    <w:bookmarkStart w:id="107" w:name="page108"/>
    <w:bookmarkEnd w:id="107"/>
    <w:p>
      <w:pPr>
        <w:ind w:left="400" w:hanging="392"/>
        <w:spacing w:after="0"/>
        <w:tabs>
          <w:tab w:leader="none" w:pos="4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Periodic Revision</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140" w:firstLine="8"/>
        <w:spacing w:after="0" w:line="284" w:lineRule="auto"/>
        <w:tabs>
          <w:tab w:leader="none" w:pos="342"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and conditions of this authorization shall be subject to revision to reflect changing times and conditions so that land use allocation decisions made as a result of revision to Forest Land and Resource Management Plan may be incorporated.</w:t>
      </w:r>
    </w:p>
    <w:p>
      <w:pPr>
        <w:spacing w:after="0" w:line="144" w:lineRule="exact"/>
        <w:rPr>
          <w:rFonts w:ascii="Times New Roman" w:cs="Times New Roman" w:eastAsia="Times New Roman" w:hAnsi="Times New Roman"/>
          <w:sz w:val="22"/>
          <w:szCs w:val="22"/>
          <w:color w:val="auto"/>
        </w:rPr>
      </w:pPr>
    </w:p>
    <w:p>
      <w:pPr>
        <w:ind w:right="260" w:firstLine="8"/>
        <w:spacing w:after="0" w:line="263" w:lineRule="auto"/>
        <w:tabs>
          <w:tab w:leader="none" w:pos="342"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sole discretion of the authorized officer this term permit may be amended to remove authorization to use any National Forest System lands not specifically covered in the Master Development Plan and/or needed for use and occupancy under this authorization.</w:t>
      </w:r>
    </w:p>
    <w:p>
      <w:pPr>
        <w:spacing w:after="0" w:line="16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2"/>
          <w:szCs w:val="22"/>
          <w:b w:val="1"/>
          <w:bCs w:val="1"/>
          <w:color w:val="auto"/>
        </w:rPr>
        <w:t>II.</w:t>
      </w:r>
      <w:r>
        <w:rPr>
          <w:sz w:val="20"/>
          <w:szCs w:val="20"/>
          <w:color w:val="auto"/>
        </w:rPr>
        <w:tab/>
      </w:r>
      <w:r>
        <w:rPr>
          <w:rFonts w:ascii="Times New Roman" w:cs="Times New Roman" w:eastAsia="Times New Roman" w:hAnsi="Times New Roman"/>
          <w:sz w:val="21"/>
          <w:szCs w:val="21"/>
          <w:b w:val="1"/>
          <w:bCs w:val="1"/>
          <w:color w:val="auto"/>
        </w:rPr>
        <w:t>IMPROVEMENTS</w:t>
      </w:r>
    </w:p>
    <w:p>
      <w:pPr>
        <w:spacing w:after="0" w:line="237" w:lineRule="exact"/>
        <w:rPr>
          <w:sz w:val="20"/>
          <w:szCs w:val="20"/>
          <w:color w:val="auto"/>
        </w:rPr>
      </w:pPr>
    </w:p>
    <w:p>
      <w:pPr>
        <w:ind w:right="160" w:firstLine="8"/>
        <w:spacing w:after="0" w:line="263" w:lineRule="auto"/>
        <w:tabs>
          <w:tab w:leader="none" w:pos="39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Permission</w:t>
      </w:r>
      <w:r>
        <w:rPr>
          <w:rFonts w:ascii="Times New Roman" w:cs="Times New Roman" w:eastAsia="Times New Roman" w:hAnsi="Times New Roman"/>
          <w:sz w:val="22"/>
          <w:szCs w:val="22"/>
          <w:color w:val="auto"/>
        </w:rPr>
        <w:t>. Nothing in this permit shall be construed to imply permission to build or maintain any improvement not specifically named in the Master Development Plan and approved in the annual operating plan, or further authorized in writing by the authorized officer.</w:t>
      </w:r>
    </w:p>
    <w:p>
      <w:pPr>
        <w:spacing w:after="0" w:line="167" w:lineRule="exact"/>
        <w:rPr>
          <w:rFonts w:ascii="Times New Roman" w:cs="Times New Roman" w:eastAsia="Times New Roman" w:hAnsi="Times New Roman"/>
          <w:sz w:val="22"/>
          <w:szCs w:val="22"/>
          <w:color w:val="auto"/>
        </w:rPr>
      </w:pPr>
    </w:p>
    <w:p>
      <w:pPr>
        <w:ind w:firstLine="8"/>
        <w:spacing w:after="0" w:line="251" w:lineRule="auto"/>
        <w:tabs>
          <w:tab w:leader="none" w:pos="37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Site Development Schedule</w:t>
      </w:r>
      <w:r>
        <w:rPr>
          <w:rFonts w:ascii="Times New Roman" w:cs="Times New Roman" w:eastAsia="Times New Roman" w:hAnsi="Times New Roman"/>
          <w:sz w:val="22"/>
          <w:szCs w:val="22"/>
          <w:color w:val="auto"/>
        </w:rPr>
        <w:t>. As part of this permit, a schedule for the progressive development of the permitted area and installation of facilities shall be prepared jointly by the holder and the Forest Service. Such a schedule shall be prepared by April 1, and shall set forth an itemized priority list of planned improvements and the due date for completion. This schedule shall be made a part of this permit. The holder may accelerate the scheduled date for installation of any improvement authorized, provided the other scheduled priorities are met; and provided further, that all priority installations authorized are completed to the satisfaction of the Forest Service and ready for public use prior to the scheduled due date.</w:t>
      </w:r>
    </w:p>
    <w:p>
      <w:pPr>
        <w:spacing w:after="0" w:line="181" w:lineRule="exact"/>
        <w:rPr>
          <w:rFonts w:ascii="Times New Roman" w:cs="Times New Roman" w:eastAsia="Times New Roman" w:hAnsi="Times New Roman"/>
          <w:sz w:val="22"/>
          <w:szCs w:val="22"/>
          <w:color w:val="auto"/>
        </w:rPr>
      </w:pPr>
    </w:p>
    <w:p>
      <w:pPr>
        <w:ind w:left="660" w:right="100" w:hanging="4"/>
        <w:spacing w:after="0" w:line="263" w:lineRule="auto"/>
        <w:tabs>
          <w:tab w:leader="none" w:pos="1002"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required plans and specifications for site improvements, and structures included in the development schedule shall be properly certified and submitted to the Forest Service at least forty-five (45) days before the construction date stipulated in the development schedule.</w:t>
      </w:r>
    </w:p>
    <w:p>
      <w:pPr>
        <w:spacing w:after="0" w:line="167" w:lineRule="exact"/>
        <w:rPr>
          <w:rFonts w:ascii="Times New Roman" w:cs="Times New Roman" w:eastAsia="Times New Roman" w:hAnsi="Times New Roman"/>
          <w:sz w:val="22"/>
          <w:szCs w:val="22"/>
          <w:color w:val="auto"/>
        </w:rPr>
      </w:pPr>
    </w:p>
    <w:p>
      <w:pPr>
        <w:jc w:val="both"/>
        <w:ind w:left="660" w:right="220" w:hanging="4"/>
        <w:spacing w:after="0" w:line="257" w:lineRule="auto"/>
        <w:tabs>
          <w:tab w:leader="none" w:pos="1002"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there is agreement with the Forest Service to expand the facilities and services provided on the areas covered by this permit, the holder shall jointly prepare with the Forest Service a development schedule for the added facilities prior to any construction and meet requirements of paragraph II.D of this section. Such schedule shall be made a part of this permit.</w:t>
      </w:r>
    </w:p>
    <w:p>
      <w:pPr>
        <w:spacing w:after="0" w:line="172" w:lineRule="exact"/>
        <w:rPr>
          <w:rFonts w:ascii="Times New Roman" w:cs="Times New Roman" w:eastAsia="Times New Roman" w:hAnsi="Times New Roman"/>
          <w:sz w:val="22"/>
          <w:szCs w:val="22"/>
          <w:color w:val="auto"/>
        </w:rPr>
      </w:pPr>
    </w:p>
    <w:p>
      <w:pPr>
        <w:ind w:right="40" w:firstLine="8"/>
        <w:spacing w:after="0" w:line="253" w:lineRule="auto"/>
        <w:tabs>
          <w:tab w:leader="none" w:pos="37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Plans</w:t>
      </w:r>
      <w:r>
        <w:rPr>
          <w:rFonts w:ascii="Times New Roman" w:cs="Times New Roman" w:eastAsia="Times New Roman" w:hAnsi="Times New Roman"/>
          <w:sz w:val="22"/>
          <w:szCs w:val="22"/>
          <w:color w:val="auto"/>
        </w:rPr>
        <w:t>. All plans for development, layout, construction, reconstruction or alteration of improvements on the site, as well as revisions of such plans, must be prepared by a licensed engineer, architect, and/or landscape architect (in those states in which such licensing is required) or other qualified individual acceptable to the authorized officer. Such plans must be accepted by the authorized officer before the commencement of any work. A holder may be required to furnish as-built plans, maps, or surveys upon the completion of construction.</w:t>
      </w:r>
    </w:p>
    <w:p>
      <w:pPr>
        <w:spacing w:after="0" w:line="179" w:lineRule="exact"/>
        <w:rPr>
          <w:rFonts w:ascii="Times New Roman" w:cs="Times New Roman" w:eastAsia="Times New Roman" w:hAnsi="Times New Roman"/>
          <w:sz w:val="22"/>
          <w:szCs w:val="22"/>
          <w:color w:val="auto"/>
        </w:rPr>
      </w:pPr>
    </w:p>
    <w:p>
      <w:pPr>
        <w:jc w:val="both"/>
        <w:ind w:right="40" w:firstLine="8"/>
        <w:spacing w:after="0" w:line="257" w:lineRule="auto"/>
        <w:tabs>
          <w:tab w:leader="none" w:pos="39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authorization may be amended to cover new, changed, or additional use(s) or area not previously considered in the approved Master Development plan. In approving or denying changes or modifications, the authorized officer shall consider among other things, the findings or recommendations of other involved agencies and whether their terms and conditions of the existing authorization may be continued or revised, or a new authorization issued.</w:t>
      </w:r>
    </w:p>
    <w:p>
      <w:pPr>
        <w:sectPr>
          <w:pgSz w:w="11900" w:h="16838" w:orient="portrait"/>
          <w:cols w:equalWidth="0" w:num="1">
            <w:col w:w="11400"/>
          </w:cols>
          <w:pgMar w:left="240" w:top="1274" w:right="259" w:bottom="1440" w:gutter="0" w:footer="0" w:header="0"/>
        </w:sectPr>
      </w:pPr>
    </w:p>
    <w:bookmarkStart w:id="108" w:name="page109"/>
    <w:bookmarkEnd w:id="108"/>
    <w:p>
      <w:pPr>
        <w:ind w:right="40" w:firstLine="8"/>
        <w:spacing w:after="0" w:line="253" w:lineRule="auto"/>
        <w:tabs>
          <w:tab w:leader="none" w:pos="36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Ski Lift Plans and Specifications</w:t>
      </w:r>
      <w:r>
        <w:rPr>
          <w:rFonts w:ascii="Times New Roman" w:cs="Times New Roman" w:eastAsia="Times New Roman" w:hAnsi="Times New Roman"/>
          <w:sz w:val="22"/>
          <w:szCs w:val="22"/>
          <w:color w:val="auto"/>
        </w:rPr>
        <w:t>. All plans for uphill equipment and systems shall be properly certified as being in accordance with the American National Standard Safety Requirements for Aerial Passenger Tramways (677.1). A complete set of drawings, specifications, and records for each lift shall be maintained by the holder and made available to the Forest Service upon request. These documents shall be retained by the holder for a period of three (3) years after the removal of the system from National Forest land.</w:t>
      </w:r>
    </w:p>
    <w:p>
      <w:pPr>
        <w:spacing w:after="0" w:line="17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III.</w:t>
      </w:r>
      <w:r>
        <w:rPr>
          <w:sz w:val="20"/>
          <w:szCs w:val="20"/>
          <w:color w:val="auto"/>
        </w:rPr>
        <w:tab/>
      </w:r>
      <w:r>
        <w:rPr>
          <w:rFonts w:ascii="Times New Roman" w:cs="Times New Roman" w:eastAsia="Times New Roman" w:hAnsi="Times New Roman"/>
          <w:sz w:val="21"/>
          <w:szCs w:val="21"/>
          <w:b w:val="1"/>
          <w:bCs w:val="1"/>
          <w:color w:val="auto"/>
        </w:rPr>
        <w:t>OPERATIONS AND MAINTENANCE</w:t>
      </w:r>
    </w:p>
    <w:p>
      <w:pPr>
        <w:spacing w:after="0" w:line="237" w:lineRule="exact"/>
        <w:rPr>
          <w:sz w:val="20"/>
          <w:szCs w:val="20"/>
          <w:color w:val="auto"/>
        </w:rPr>
      </w:pPr>
    </w:p>
    <w:p>
      <w:pPr>
        <w:ind w:right="240" w:firstLine="8"/>
        <w:spacing w:after="0" w:line="257" w:lineRule="auto"/>
        <w:tabs>
          <w:tab w:leader="none" w:pos="39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of Operations</w:t>
      </w:r>
      <w:r>
        <w:rPr>
          <w:rFonts w:ascii="Times New Roman" w:cs="Times New Roman" w:eastAsia="Times New Roman" w:hAnsi="Times New Roman"/>
          <w:sz w:val="22"/>
          <w:szCs w:val="22"/>
          <w:color w:val="auto"/>
        </w:rPr>
        <w:t>. The holder shall maintain the improvements and premises to standards of repair, orderliness, neatness, sanitation, and safety acceptable to the authorized officer. Standards are subject to periodic change by the authorized officer. This use shall normally be exercised at least 200 days each year or season. Failure of the holder to exercise this minimum use may result in termination pursuant to VIII.B.</w:t>
      </w:r>
    </w:p>
    <w:p>
      <w:pPr>
        <w:spacing w:after="0" w:line="172" w:lineRule="exact"/>
        <w:rPr>
          <w:rFonts w:ascii="Times New Roman" w:cs="Times New Roman" w:eastAsia="Times New Roman" w:hAnsi="Times New Roman"/>
          <w:sz w:val="22"/>
          <w:szCs w:val="22"/>
          <w:color w:val="auto"/>
        </w:rPr>
      </w:pPr>
    </w:p>
    <w:p>
      <w:pPr>
        <w:ind w:right="40" w:firstLine="8"/>
        <w:spacing w:after="0" w:line="253" w:lineRule="auto"/>
        <w:tabs>
          <w:tab w:leader="none" w:pos="37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Ski Lift Holder Inspection</w:t>
      </w:r>
      <w:r>
        <w:rPr>
          <w:rFonts w:ascii="Times New Roman" w:cs="Times New Roman" w:eastAsia="Times New Roman" w:hAnsi="Times New Roman"/>
          <w:sz w:val="22"/>
          <w:szCs w:val="22"/>
          <w:color w:val="auto"/>
        </w:rPr>
        <w:t>. The holder shall have all passenger tramways inspected by a qualified engineer or tramway specialist. Inspections shall be made in accordance with the American National Standard Safety Requirements for Aerial Passenger Tramways (B77.1). A certificate of inspection, signed by an officer of the holder’s company, attesting to the adequacy and safety of the installations and equipment for public use shall be received by the Forest Service prior to public operation stating as a minimum:</w:t>
      </w:r>
    </w:p>
    <w:p>
      <w:pPr>
        <w:spacing w:after="0" w:line="179" w:lineRule="exact"/>
        <w:rPr>
          <w:sz w:val="20"/>
          <w:szCs w:val="20"/>
          <w:color w:val="auto"/>
        </w:rPr>
      </w:pPr>
    </w:p>
    <w:p>
      <w:pPr>
        <w:jc w:val="both"/>
        <w:ind w:right="180"/>
        <w:spacing w:after="0" w:line="257" w:lineRule="auto"/>
        <w:rPr>
          <w:sz w:val="20"/>
          <w:szCs w:val="20"/>
          <w:color w:val="auto"/>
        </w:rPr>
      </w:pPr>
      <w:r>
        <w:rPr>
          <w:rFonts w:ascii="Times New Roman" w:cs="Times New Roman" w:eastAsia="Times New Roman" w:hAnsi="Times New Roman"/>
          <w:sz w:val="22"/>
          <w:szCs w:val="22"/>
          <w:color w:val="auto"/>
        </w:rPr>
        <w:t>“Pursuant to our special use permit, we have had an inspection to determine our compliance with the American National Standard B77.1. We have received the results of that inspection and have made corrections of all deficiencies noted. The facilities are ready for public use.”</w:t>
      </w:r>
    </w:p>
    <w:p>
      <w:pPr>
        <w:spacing w:after="0" w:line="173" w:lineRule="exact"/>
        <w:rPr>
          <w:sz w:val="20"/>
          <w:szCs w:val="20"/>
          <w:color w:val="auto"/>
        </w:rPr>
      </w:pPr>
    </w:p>
    <w:p>
      <w:pPr>
        <w:ind w:firstLine="8"/>
        <w:spacing w:after="0" w:line="253" w:lineRule="auto"/>
        <w:tabs>
          <w:tab w:leader="none" w:pos="37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Operating Plan</w:t>
      </w:r>
      <w:r>
        <w:rPr>
          <w:rFonts w:ascii="Times New Roman" w:cs="Times New Roman" w:eastAsia="Times New Roman" w:hAnsi="Times New Roman"/>
          <w:sz w:val="22"/>
          <w:szCs w:val="22"/>
          <w:color w:val="auto"/>
        </w:rPr>
        <w:t>. The holder or designated representative shall prepare and annually revise by September 1 an Operating Plan. The Plan shall be prepared in consultation with the authorized officer or designated representative and cover winter and summer operations as appropriate. The provisions of the Operating Plan and the annual revisions shall become a part of this permit and shall be submitted by the holder and approved by the authorized officer or their designated representatives. This plan shall consist of at least the following sections:</w:t>
      </w:r>
    </w:p>
    <w:p>
      <w:pPr>
        <w:spacing w:after="0" w:line="328" w:lineRule="exact"/>
        <w:rPr>
          <w:sz w:val="20"/>
          <w:szCs w:val="20"/>
          <w:color w:val="auto"/>
        </w:rPr>
      </w:pPr>
    </w:p>
    <w:p>
      <w:pPr>
        <w:ind w:left="360" w:hanging="352"/>
        <w:spacing w:after="0"/>
        <w:tabs>
          <w:tab w:leader="none" w:pos="3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Ski patrol and first aid.</w:t>
      </w:r>
    </w:p>
    <w:p>
      <w:pPr>
        <w:spacing w:after="0" w:line="29"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Communications.</w:t>
      </w:r>
    </w:p>
    <w:p>
      <w:pPr>
        <w:spacing w:after="0" w:line="17"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Signs.</w:t>
      </w:r>
    </w:p>
    <w:p>
      <w:pPr>
        <w:spacing w:after="0" w:line="17"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 safety and sanitation.</w:t>
      </w:r>
    </w:p>
    <w:p>
      <w:pPr>
        <w:spacing w:after="0" w:line="17"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Erosion control.</w:t>
      </w:r>
    </w:p>
    <w:p>
      <w:pPr>
        <w:spacing w:after="0" w:line="17"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Accident reporting.</w:t>
      </w:r>
    </w:p>
    <w:p>
      <w:pPr>
        <w:spacing w:after="0" w:line="17"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Avalanche control.</w:t>
      </w:r>
    </w:p>
    <w:p>
      <w:pPr>
        <w:spacing w:after="0" w:line="17"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Search and rescue.</w:t>
      </w:r>
    </w:p>
    <w:p>
      <w:pPr>
        <w:spacing w:after="0" w:line="17"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Boundary management.</w:t>
      </w:r>
    </w:p>
    <w:p>
      <w:pPr>
        <w:spacing w:after="0" w:line="17" w:lineRule="exact"/>
        <w:rPr>
          <w:rFonts w:ascii="Times New Roman" w:cs="Times New Roman" w:eastAsia="Times New Roman" w:hAnsi="Times New Roman"/>
          <w:sz w:val="22"/>
          <w:szCs w:val="22"/>
          <w:color w:val="auto"/>
        </w:rPr>
      </w:pPr>
    </w:p>
    <w:p>
      <w:pPr>
        <w:ind w:left="460" w:hanging="452"/>
        <w:spacing w:after="0"/>
        <w:tabs>
          <w:tab w:leader="none" w:pos="4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Vegetation management.</w:t>
      </w:r>
    </w:p>
    <w:p>
      <w:pPr>
        <w:spacing w:after="0" w:line="17" w:lineRule="exact"/>
        <w:rPr>
          <w:rFonts w:ascii="Times New Roman" w:cs="Times New Roman" w:eastAsia="Times New Roman" w:hAnsi="Times New Roman"/>
          <w:sz w:val="22"/>
          <w:szCs w:val="22"/>
          <w:color w:val="auto"/>
        </w:rPr>
      </w:pPr>
    </w:p>
    <w:p>
      <w:pPr>
        <w:ind w:left="460" w:hanging="452"/>
        <w:spacing w:after="0"/>
        <w:tabs>
          <w:tab w:leader="none" w:pos="4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Designation of representatives.</w:t>
      </w:r>
    </w:p>
    <w:p>
      <w:pPr>
        <w:spacing w:after="0" w:line="17" w:lineRule="exact"/>
        <w:rPr>
          <w:rFonts w:ascii="Times New Roman" w:cs="Times New Roman" w:eastAsia="Times New Roman" w:hAnsi="Times New Roman"/>
          <w:sz w:val="22"/>
          <w:szCs w:val="22"/>
          <w:color w:val="auto"/>
        </w:rPr>
      </w:pPr>
    </w:p>
    <w:p>
      <w:pPr>
        <w:ind w:left="460" w:hanging="452"/>
        <w:spacing w:after="0"/>
        <w:tabs>
          <w:tab w:leader="none" w:pos="4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Trail routes for nordic skiing.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authorized officer may require a joint annual business meeting agenda to:</w:t>
      </w:r>
    </w:p>
    <w:p>
      <w:pPr>
        <w:sectPr>
          <w:pgSz w:w="11900" w:h="16838" w:orient="portrait"/>
          <w:cols w:equalWidth="0" w:num="1">
            <w:col w:w="11420"/>
          </w:cols>
          <w:pgMar w:left="240" w:top="801" w:right="239" w:bottom="1440" w:gutter="0" w:footer="0" w:header="0"/>
        </w:sectPr>
      </w:pPr>
    </w:p>
    <w:bookmarkStart w:id="109" w:name="page110"/>
    <w:bookmarkEnd w:id="109"/>
    <w:p>
      <w:pPr>
        <w:ind w:left="980" w:hanging="324"/>
        <w:spacing w:after="0"/>
        <w:tabs>
          <w:tab w:leader="none" w:pos="980"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Update Gross Fixed Assets and lift-line proration when the fee is calculated by the Graduated Rate Fee System.</w:t>
      </w:r>
    </w:p>
    <w:p>
      <w:pPr>
        <w:spacing w:after="0" w:line="233" w:lineRule="exact"/>
        <w:rPr>
          <w:rFonts w:ascii="Times New Roman" w:cs="Times New Roman" w:eastAsia="Times New Roman" w:hAnsi="Times New Roman"/>
          <w:sz w:val="22"/>
          <w:szCs w:val="22"/>
          <w:color w:val="auto"/>
        </w:rPr>
      </w:pPr>
    </w:p>
    <w:p>
      <w:pPr>
        <w:ind w:left="1000" w:hanging="344"/>
        <w:spacing w:after="0"/>
        <w:tabs>
          <w:tab w:leader="none" w:pos="1000"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need for performance bond for construction projects, and amount of bond.</w:t>
      </w:r>
    </w:p>
    <w:p>
      <w:pPr>
        <w:spacing w:after="0" w:line="233"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annual use reports.</w:t>
      </w:r>
    </w:p>
    <w:p>
      <w:pPr>
        <w:spacing w:after="0" w:line="233" w:lineRule="exact"/>
        <w:rPr>
          <w:rFonts w:ascii="Times New Roman" w:cs="Times New Roman" w:eastAsia="Times New Roman" w:hAnsi="Times New Roman"/>
          <w:sz w:val="22"/>
          <w:szCs w:val="22"/>
          <w:color w:val="auto"/>
        </w:rPr>
      </w:pPr>
    </w:p>
    <w:p>
      <w:pPr>
        <w:ind w:right="60" w:firstLine="8"/>
        <w:spacing w:after="0" w:line="257" w:lineRule="auto"/>
        <w:tabs>
          <w:tab w:leader="none" w:pos="39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Cutting of Trees</w:t>
      </w:r>
      <w:r>
        <w:rPr>
          <w:rFonts w:ascii="Times New Roman" w:cs="Times New Roman" w:eastAsia="Times New Roman" w:hAnsi="Times New Roman"/>
          <w:sz w:val="22"/>
          <w:szCs w:val="22"/>
          <w:color w:val="auto"/>
        </w:rPr>
        <w:t>. Trees or shrubbery on the permitted area may be removed or destroyed only after the authorized officer has approved and marked, or otherwise designated, that which may be removed or destroyed. Timber cut or destroyed shall be paid for by the holder at appraised value, provided that the Forest Service reserves the right to dispose of the merchantable timber to others than the holder at no stumpage cost to the holder.</w:t>
      </w:r>
    </w:p>
    <w:p>
      <w:pPr>
        <w:spacing w:after="0" w:line="172" w:lineRule="exact"/>
        <w:rPr>
          <w:rFonts w:ascii="Times New Roman" w:cs="Times New Roman" w:eastAsia="Times New Roman" w:hAnsi="Times New Roman"/>
          <w:sz w:val="22"/>
          <w:szCs w:val="22"/>
          <w:color w:val="auto"/>
        </w:rPr>
      </w:pPr>
    </w:p>
    <w:p>
      <w:pPr>
        <w:ind w:right="540" w:firstLine="8"/>
        <w:spacing w:after="0" w:line="263" w:lineRule="auto"/>
        <w:tabs>
          <w:tab w:leader="none" w:pos="36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Signs</w:t>
      </w:r>
      <w:r>
        <w:rPr>
          <w:rFonts w:ascii="Times New Roman" w:cs="Times New Roman" w:eastAsia="Times New Roman" w:hAnsi="Times New Roman"/>
          <w:sz w:val="22"/>
          <w:szCs w:val="22"/>
          <w:color w:val="auto"/>
        </w:rPr>
        <w:t>. Signs or advertising devices erected on National Forest lands, shall have prior approval by the Forest Service as to location, design, size, color, and message. Erected signs shall be maintained or renewed as necessary to neat and presentable standards, as determined by the Forest Service.</w:t>
      </w:r>
    </w:p>
    <w:p>
      <w:pPr>
        <w:spacing w:after="0" w:line="167" w:lineRule="exact"/>
        <w:rPr>
          <w:rFonts w:ascii="Times New Roman" w:cs="Times New Roman" w:eastAsia="Times New Roman" w:hAnsi="Times New Roman"/>
          <w:sz w:val="22"/>
          <w:szCs w:val="22"/>
          <w:color w:val="auto"/>
        </w:rPr>
      </w:pPr>
    </w:p>
    <w:p>
      <w:pPr>
        <w:ind w:right="40" w:firstLine="8"/>
        <w:spacing w:after="0" w:line="251" w:lineRule="auto"/>
        <w:tabs>
          <w:tab w:leader="none" w:pos="337"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Temporary Suspension</w:t>
      </w:r>
      <w:r>
        <w:rPr>
          <w:rFonts w:ascii="Times New Roman" w:cs="Times New Roman" w:eastAsia="Times New Roman" w:hAnsi="Times New Roman"/>
          <w:sz w:val="22"/>
          <w:szCs w:val="22"/>
          <w:color w:val="auto"/>
        </w:rPr>
        <w:t>. Immediate temporary suspension of the operation, in whole or in part, may be required when the authorized officer, or designated representative, determines it to be necessary to protect the public health or safety, or the environment. The order for suspension may be given verbally or in writing. In any such case, the superior of the authorized officer, or designated representative, shall, within ten (10) days of the request of the holder, arrange for an on-the-ground review of the adverse conditions with the holder. Following this review the superior shall take prompt action to affirm, modify or cancel the temporary suspension.</w:t>
      </w:r>
    </w:p>
    <w:p>
      <w:pPr>
        <w:spacing w:after="0" w:line="17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1"/>
          <w:szCs w:val="21"/>
          <w:b w:val="1"/>
          <w:bCs w:val="1"/>
          <w:color w:val="auto"/>
        </w:rPr>
        <w:t>NONDISCRIMINATION. During the performance of this permit, the holder agrees:</w:t>
      </w:r>
    </w:p>
    <w:p>
      <w:pPr>
        <w:spacing w:after="0" w:line="237" w:lineRule="exact"/>
        <w:rPr>
          <w:sz w:val="20"/>
          <w:szCs w:val="20"/>
          <w:color w:val="auto"/>
        </w:rPr>
      </w:pPr>
    </w:p>
    <w:p>
      <w:pPr>
        <w:ind w:right="280" w:firstLine="8"/>
        <w:spacing w:after="0" w:line="263" w:lineRule="auto"/>
        <w:tabs>
          <w:tab w:leader="none" w:pos="39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performance of work under this permit, including construction, maintenance, and operation of the facility, the holder shall not discriminate against any employee or applicant for employment because of race, color, religion, sex, national origin, age, or handicap. (Ref. Title VII of the Civil Rights Act of 1964 as amended).</w:t>
      </w:r>
    </w:p>
    <w:p>
      <w:pPr>
        <w:spacing w:after="0" w:line="167" w:lineRule="exact"/>
        <w:rPr>
          <w:rFonts w:ascii="Times New Roman" w:cs="Times New Roman" w:eastAsia="Times New Roman" w:hAnsi="Times New Roman"/>
          <w:sz w:val="22"/>
          <w:szCs w:val="22"/>
          <w:color w:val="auto"/>
        </w:rPr>
      </w:pPr>
    </w:p>
    <w:p>
      <w:pPr>
        <w:ind w:right="360" w:firstLine="8"/>
        <w:spacing w:after="0" w:line="257" w:lineRule="auto"/>
        <w:tabs>
          <w:tab w:leader="none" w:pos="378"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and employees shall not discriminate by segregation or otherwise against any person on the basis of race, color, religion, sex, national origin, age or handicap, by curtailing or refusing to furnish accommodations, facilities, services, or use privileges offered to the public generally. (Ref. Title VI of the Civil Rights Act of 1964 as amended, Section 504 of the Rehabilitation Act of 1973, Title IX of the Education Amendments, and the Age Discrimination Act of 1975).</w:t>
      </w:r>
    </w:p>
    <w:p>
      <w:pPr>
        <w:spacing w:after="0" w:line="172" w:lineRule="exact"/>
        <w:rPr>
          <w:rFonts w:ascii="Times New Roman" w:cs="Times New Roman" w:eastAsia="Times New Roman" w:hAnsi="Times New Roman"/>
          <w:sz w:val="22"/>
          <w:szCs w:val="22"/>
          <w:color w:val="auto"/>
        </w:rPr>
      </w:pPr>
    </w:p>
    <w:p>
      <w:pPr>
        <w:ind w:right="320" w:firstLine="8"/>
        <w:spacing w:after="0" w:line="284" w:lineRule="auto"/>
        <w:tabs>
          <w:tab w:leader="none" w:pos="378"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shall include and require compliance with the above nondiscrimination provisions in any subcontract made with respect to the operations under this permit.</w:t>
      </w:r>
    </w:p>
    <w:p>
      <w:pPr>
        <w:spacing w:after="0" w:line="144" w:lineRule="exact"/>
        <w:rPr>
          <w:rFonts w:ascii="Times New Roman" w:cs="Times New Roman" w:eastAsia="Times New Roman" w:hAnsi="Times New Roman"/>
          <w:sz w:val="22"/>
          <w:szCs w:val="22"/>
          <w:color w:val="auto"/>
        </w:rPr>
      </w:pPr>
    </w:p>
    <w:p>
      <w:pPr>
        <w:ind w:firstLine="8"/>
        <w:spacing w:after="0" w:line="284" w:lineRule="auto"/>
        <w:tabs>
          <w:tab w:leader="none" w:pos="39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Signs setting forth this policy of nondiscrimination to be furnished by the Forest Service will be conspicuously displayed at the public entrance to the premises, and at other exterior or interior locations as directed by the Forest Service.</w:t>
      </w:r>
    </w:p>
    <w:p>
      <w:pPr>
        <w:spacing w:after="0" w:line="144" w:lineRule="exact"/>
        <w:rPr>
          <w:rFonts w:ascii="Times New Roman" w:cs="Times New Roman" w:eastAsia="Times New Roman" w:hAnsi="Times New Roman"/>
          <w:sz w:val="22"/>
          <w:szCs w:val="22"/>
          <w:color w:val="auto"/>
        </w:rPr>
      </w:pPr>
    </w:p>
    <w:p>
      <w:pPr>
        <w:ind w:right="140" w:firstLine="8"/>
        <w:spacing w:after="0" w:line="309" w:lineRule="auto"/>
        <w:tabs>
          <w:tab w:leader="none" w:pos="366"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Forest Service shall have the right to enforce the foregoing nondiscrimination provisions by suit for specific performance or by any other available remedy under the laws of the United States of the State in which the breach or violation occurs.</w:t>
      </w:r>
    </w:p>
    <w:p>
      <w:pPr>
        <w:sectPr>
          <w:pgSz w:w="11900" w:h="16838" w:orient="portrait"/>
          <w:cols w:equalWidth="0" w:num="1">
            <w:col w:w="11380"/>
          </w:cols>
          <w:pgMar w:left="240" w:top="801" w:right="279" w:bottom="1440" w:gutter="0" w:footer="0" w:header="0"/>
        </w:sectPr>
      </w:pPr>
    </w:p>
    <w:bookmarkStart w:id="110" w:name="page111"/>
    <w:bookmarkEnd w:id="110"/>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V.</w:t>
      </w:r>
      <w:r>
        <w:rPr>
          <w:sz w:val="20"/>
          <w:szCs w:val="20"/>
          <w:color w:val="auto"/>
        </w:rPr>
        <w:tab/>
      </w:r>
      <w:r>
        <w:rPr>
          <w:rFonts w:ascii="Times New Roman" w:cs="Times New Roman" w:eastAsia="Times New Roman" w:hAnsi="Times New Roman"/>
          <w:sz w:val="21"/>
          <w:szCs w:val="21"/>
          <w:b w:val="1"/>
          <w:bCs w:val="1"/>
          <w:color w:val="auto"/>
        </w:rPr>
        <w:t>LIABILITIES</w:t>
      </w:r>
    </w:p>
    <w:p>
      <w:pPr>
        <w:spacing w:after="0" w:line="237" w:lineRule="exact"/>
        <w:rPr>
          <w:sz w:val="20"/>
          <w:szCs w:val="20"/>
          <w:color w:val="auto"/>
        </w:rPr>
      </w:pPr>
    </w:p>
    <w:p>
      <w:pPr>
        <w:ind w:right="140" w:firstLine="8"/>
        <w:spacing w:after="0" w:line="284" w:lineRule="auto"/>
        <w:tabs>
          <w:tab w:leader="none" w:pos="39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 Party Rights</w:t>
      </w:r>
      <w:r>
        <w:rPr>
          <w:rFonts w:ascii="Times New Roman" w:cs="Times New Roman" w:eastAsia="Times New Roman" w:hAnsi="Times New Roman"/>
          <w:sz w:val="22"/>
          <w:szCs w:val="22"/>
          <w:color w:val="auto"/>
        </w:rPr>
        <w:t>. This permit is subject to all valid existing rights and claims outstanding in third parties. The United States is not liable to the holder for the exercise of any such right or claim.</w:t>
      </w:r>
    </w:p>
    <w:p>
      <w:pPr>
        <w:spacing w:after="0" w:line="144" w:lineRule="exact"/>
        <w:rPr>
          <w:rFonts w:ascii="Times New Roman" w:cs="Times New Roman" w:eastAsia="Times New Roman" w:hAnsi="Times New Roman"/>
          <w:sz w:val="22"/>
          <w:szCs w:val="22"/>
          <w:color w:val="auto"/>
        </w:rPr>
      </w:pPr>
    </w:p>
    <w:p>
      <w:pPr>
        <w:ind w:firstLine="8"/>
        <w:spacing w:after="0" w:line="284" w:lineRule="auto"/>
        <w:tabs>
          <w:tab w:leader="none" w:pos="37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of the United States</w:t>
      </w:r>
      <w:r>
        <w:rPr>
          <w:rFonts w:ascii="Times New Roman" w:cs="Times New Roman" w:eastAsia="Times New Roman" w:hAnsi="Times New Roman"/>
          <w:sz w:val="22"/>
          <w:szCs w:val="22"/>
          <w:color w:val="auto"/>
        </w:rPr>
        <w:t>. The holder shall hold harmless the United States from any liability from damage to life or property arising from the holder’s occupancy or use of National Forest lands under this permit.</w:t>
      </w:r>
    </w:p>
    <w:p>
      <w:pPr>
        <w:spacing w:after="0" w:line="144" w:lineRule="exact"/>
        <w:rPr>
          <w:rFonts w:ascii="Times New Roman" w:cs="Times New Roman" w:eastAsia="Times New Roman" w:hAnsi="Times New Roman"/>
          <w:sz w:val="22"/>
          <w:szCs w:val="22"/>
          <w:color w:val="auto"/>
        </w:rPr>
      </w:pPr>
    </w:p>
    <w:p>
      <w:pPr>
        <w:ind w:right="40" w:firstLine="8"/>
        <w:spacing w:after="0" w:line="257" w:lineRule="auto"/>
        <w:tabs>
          <w:tab w:leader="none" w:pos="37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Damage to United States Property</w:t>
      </w:r>
      <w:r>
        <w:rPr>
          <w:rFonts w:ascii="Times New Roman" w:cs="Times New Roman" w:eastAsia="Times New Roman" w:hAnsi="Times New Roman"/>
          <w:sz w:val="22"/>
          <w:szCs w:val="22"/>
          <w:color w:val="auto"/>
        </w:rPr>
        <w:t>. The holder shall exercise diligence in protecting from damage the land and property of the United States covered by and used in connection with this permit. The holder shall pay the United States the full cost of any damage resulting from negligence or activities occurring under the terms of this permit or under any law or regulation applicable to the national forests, whether caused by the holder, or by any agents or employees of the holder.</w:t>
      </w:r>
    </w:p>
    <w:p>
      <w:pPr>
        <w:spacing w:after="0" w:line="172" w:lineRule="exact"/>
        <w:rPr>
          <w:rFonts w:ascii="Times New Roman" w:cs="Times New Roman" w:eastAsia="Times New Roman" w:hAnsi="Times New Roman"/>
          <w:sz w:val="22"/>
          <w:szCs w:val="22"/>
          <w:color w:val="auto"/>
        </w:rPr>
      </w:pPr>
    </w:p>
    <w:p>
      <w:pPr>
        <w:ind w:right="40" w:firstLine="8"/>
        <w:spacing w:after="0" w:line="253" w:lineRule="auto"/>
        <w:tabs>
          <w:tab w:leader="none" w:pos="39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Risks</w:t>
      </w:r>
      <w:r>
        <w:rPr>
          <w:rFonts w:ascii="Times New Roman" w:cs="Times New Roman" w:eastAsia="Times New Roman" w:hAnsi="Times New Roman"/>
          <w:sz w:val="22"/>
          <w:szCs w:val="22"/>
          <w:color w:val="auto"/>
        </w:rPr>
        <w:t>. The holder assumes all risk of loss to the improvements resulting from natural or catastrophic events, including but not limited to, avalanches, rising waters, high winds, falling limbs or trees, and other hazardous events. If the improvements authorized by this permit are destroyed or substantially damaged by natural or catastrophic events, the authorized officer shall conduct an analysis to determine whether the improvements can be safely occupied in the future and whether rebuilding should be allowed. The analysis shall be provided to the holder within six (6) months of the event.</w:t>
      </w:r>
    </w:p>
    <w:p>
      <w:pPr>
        <w:spacing w:after="0" w:line="179" w:lineRule="exact"/>
        <w:rPr>
          <w:rFonts w:ascii="Times New Roman" w:cs="Times New Roman" w:eastAsia="Times New Roman" w:hAnsi="Times New Roman"/>
          <w:sz w:val="22"/>
          <w:szCs w:val="22"/>
          <w:color w:val="auto"/>
        </w:rPr>
      </w:pPr>
    </w:p>
    <w:p>
      <w:pPr>
        <w:ind w:right="40" w:firstLine="8"/>
        <w:spacing w:after="0" w:line="284" w:lineRule="auto"/>
        <w:tabs>
          <w:tab w:leader="none" w:pos="36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Hazards</w:t>
      </w:r>
      <w:r>
        <w:rPr>
          <w:rFonts w:ascii="Times New Roman" w:cs="Times New Roman" w:eastAsia="Times New Roman" w:hAnsi="Times New Roman"/>
          <w:sz w:val="22"/>
          <w:szCs w:val="22"/>
          <w:color w:val="auto"/>
        </w:rPr>
        <w:t>. The holder has the responsibility of inspecting the area authorized for use under this permit for evidence of hazardous conditions which could affect the improvements or pose a risk of injury to individuals.</w:t>
      </w:r>
    </w:p>
    <w:p>
      <w:pPr>
        <w:spacing w:after="0" w:line="144" w:lineRule="exact"/>
        <w:rPr>
          <w:rFonts w:ascii="Times New Roman" w:cs="Times New Roman" w:eastAsia="Times New Roman" w:hAnsi="Times New Roman"/>
          <w:sz w:val="22"/>
          <w:szCs w:val="22"/>
          <w:color w:val="auto"/>
        </w:rPr>
      </w:pPr>
    </w:p>
    <w:p>
      <w:pPr>
        <w:ind w:left="340" w:hanging="332"/>
        <w:spacing w:after="0"/>
        <w:tabs>
          <w:tab w:leader="none" w:pos="34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holder shall have in force public liability insurance covering: (1) property damage in the amount of Five</w:t>
      </w:r>
    </w:p>
    <w:p>
      <w:pPr>
        <w:spacing w:after="0" w:line="29" w:lineRule="exact"/>
        <w:rPr>
          <w:rFonts w:ascii="Times New Roman" w:cs="Times New Roman" w:eastAsia="Times New Roman" w:hAnsi="Times New Roman"/>
          <w:sz w:val="22"/>
          <w:szCs w:val="22"/>
          <w:color w:val="auto"/>
        </w:rPr>
      </w:pPr>
    </w:p>
    <w:p>
      <w:pPr>
        <w:ind w:right="380"/>
        <w:spacing w:after="0" w:line="26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Hundred Thousand Dollars ($500,000.), and (2) damage to persons in the minimum amount of Five Hundred Thousand Dollars ($500,000.) in the event of death or injury to one individual, and the minimum amount of Five Hundred Thousand Dollars</w:t>
      </w:r>
    </w:p>
    <w:p>
      <w:pPr>
        <w:spacing w:after="0" w:line="1" w:lineRule="exact"/>
        <w:rPr>
          <w:rFonts w:ascii="Times New Roman" w:cs="Times New Roman" w:eastAsia="Times New Roman" w:hAnsi="Times New Roman"/>
          <w:sz w:val="22"/>
          <w:szCs w:val="22"/>
          <w:color w:val="auto"/>
        </w:rPr>
      </w:pPr>
    </w:p>
    <w:p>
      <w:pPr>
        <w:ind w:right="40"/>
        <w:spacing w:after="0" w:line="25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($500,000.) in the event of death or injury to more than one individual. These minimum amounts and terms are subject to change at the sole discretion of the authorized officer at the five-year anniversary date of this authorization. The coverage shall extend to property damage, bodily Injury, or death arising out of the holder’s activities under the permit including, but not limited to, occupancy or use of the land and the construction, maintenance, and operation of the structures, facilities, or equipment authorized by this permit. Such insurance shall also name the United States as an additionally insured. The holder shall send an authenticated copy of its insurance policy to the Forest Service immediately upon issuance of the policy. The policy shall also contain a specific provision or rider to the effect that the policy shall not be cancelled or its provisions changed or deleted before thirty (30) days written notice to the Forest Supervisor, 870 Emerald Bay Road, South Lake Tahoe, CA 96150, by the insurance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Rider Clause (for insurance companies)</w:t>
      </w:r>
    </w:p>
    <w:p>
      <w:pPr>
        <w:spacing w:after="0" w:line="220" w:lineRule="exact"/>
        <w:rPr>
          <w:sz w:val="20"/>
          <w:szCs w:val="20"/>
          <w:color w:val="auto"/>
        </w:rPr>
      </w:pPr>
    </w:p>
    <w:p>
      <w:pPr>
        <w:ind w:left="660" w:right="80"/>
        <w:spacing w:after="0" w:line="271" w:lineRule="auto"/>
        <w:rPr>
          <w:sz w:val="20"/>
          <w:szCs w:val="20"/>
          <w:color w:val="auto"/>
        </w:rPr>
      </w:pPr>
      <w:r>
        <w:rPr>
          <w:rFonts w:ascii="Times New Roman" w:cs="Times New Roman" w:eastAsia="Times New Roman" w:hAnsi="Times New Roman"/>
          <w:sz w:val="22"/>
          <w:szCs w:val="22"/>
          <w:color w:val="auto"/>
        </w:rPr>
        <w:t>“It is understood and agreed that the coverage provided under this policy shall not be cancelled or its provisions changed or deleted before thirty (30) days of receipt of written</w:t>
      </w:r>
    </w:p>
    <w:p>
      <w:pPr>
        <w:sectPr>
          <w:pgSz w:w="11900" w:h="16838" w:orient="portrait"/>
          <w:cols w:equalWidth="0" w:num="1">
            <w:col w:w="11400"/>
          </w:cols>
          <w:pgMar w:left="240" w:top="797" w:right="259" w:bottom="1440" w:gutter="0" w:footer="0" w:header="0"/>
        </w:sectPr>
      </w:pPr>
    </w:p>
    <w:bookmarkStart w:id="111" w:name="page112"/>
    <w:bookmarkEnd w:id="111"/>
    <w:p>
      <w:pPr>
        <w:ind w:right="800" w:firstLine="648"/>
        <w:spacing w:after="0" w:line="454" w:lineRule="auto"/>
        <w:rPr>
          <w:sz w:val="20"/>
          <w:szCs w:val="20"/>
          <w:color w:val="auto"/>
        </w:rPr>
      </w:pPr>
      <w:r>
        <w:rPr>
          <w:rFonts w:ascii="Times New Roman" w:cs="Times New Roman" w:eastAsia="Times New Roman" w:hAnsi="Times New Roman"/>
          <w:sz w:val="22"/>
          <w:szCs w:val="22"/>
          <w:color w:val="auto"/>
        </w:rPr>
        <w:t xml:space="preserve">notice to the Forest Supervisor, 870 Emerald Bay Road, South Lake Tahoe, CA 96150, by the insurance company.” </w:t>
      </w:r>
      <w:r>
        <w:rPr>
          <w:rFonts w:ascii="Times New Roman" w:cs="Times New Roman" w:eastAsia="Times New Roman" w:hAnsi="Times New Roman"/>
          <w:sz w:val="22"/>
          <w:szCs w:val="22"/>
          <w:b w:val="1"/>
          <w:bCs w:val="1"/>
          <w:color w:val="auto"/>
        </w:rPr>
        <w:t>VI. FEES</w:t>
      </w:r>
    </w:p>
    <w:p>
      <w:pPr>
        <w:spacing w:after="0" w:line="2"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22"/>
          <w:szCs w:val="22"/>
          <w:u w:val="single" w:color="auto"/>
          <w:color w:val="auto"/>
        </w:rPr>
        <w:t>Ski Area Permit Fees</w:t>
      </w:r>
      <w:r>
        <w:rPr>
          <w:rFonts w:ascii="Times New Roman" w:cs="Times New Roman" w:eastAsia="Times New Roman" w:hAnsi="Times New Roman"/>
          <w:sz w:val="22"/>
          <w:szCs w:val="22"/>
          <w:color w:val="auto"/>
        </w:rPr>
        <w:t>. The Forest Service shall adjust and calculate permit fees authorized by this permit to reflect any revisions to permit fee provisions in 16 U.S.C. 497c or to comply with any new permit fee system based on fair market value that may be adopted by statute or otherwise after issuance of this permit.</w:t>
      </w:r>
    </w:p>
    <w:p>
      <w:pPr>
        <w:spacing w:after="0" w:line="173" w:lineRule="exact"/>
        <w:rPr>
          <w:sz w:val="20"/>
          <w:szCs w:val="20"/>
          <w:color w:val="auto"/>
        </w:rPr>
      </w:pPr>
    </w:p>
    <w:p>
      <w:pPr>
        <w:ind w:right="200" w:firstLine="8"/>
        <w:spacing w:after="0" w:line="284" w:lineRule="auto"/>
        <w:tabs>
          <w:tab w:leader="none" w:pos="39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Fee Calculation</w:t>
      </w:r>
      <w:r>
        <w:rPr>
          <w:rFonts w:ascii="Times New Roman" w:cs="Times New Roman" w:eastAsia="Times New Roman" w:hAnsi="Times New Roman"/>
          <w:sz w:val="22"/>
          <w:szCs w:val="22"/>
          <w:color w:val="auto"/>
        </w:rPr>
        <w:t>. The annual fee due the United States for the activities authorized by this permit shall be calculated using the following formula:</w:t>
      </w:r>
    </w:p>
    <w:p>
      <w:pPr>
        <w:sectPr>
          <w:pgSz w:w="11900" w:h="16838" w:orient="portrait"/>
          <w:cols w:equalWidth="0" w:num="1">
            <w:col w:w="11420"/>
          </w:cols>
          <w:pgMar w:left="240" w:top="801" w:right="239" w:bottom="1440" w:gutter="0" w:footer="0" w:header="0"/>
        </w:sectPr>
      </w:pP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SAPF</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(.015 x AGR in bracket 1) + (.025 x AGR in bracket 2) + (.0275 x AGR in bracket 3) + (.04 x AGR in bracket 4)</w:t>
      </w:r>
    </w:p>
    <w:p>
      <w:pPr>
        <w:spacing w:after="0" w:line="200" w:lineRule="exact"/>
        <w:rPr>
          <w:sz w:val="20"/>
          <w:szCs w:val="20"/>
          <w:color w:val="auto"/>
        </w:rPr>
      </w:pPr>
    </w:p>
    <w:p>
      <w:pPr>
        <w:sectPr>
          <w:pgSz w:w="11900" w:h="16838" w:orient="portrait"/>
          <w:cols w:equalWidth="0" w:num="2">
            <w:col w:w="1180" w:space="180"/>
            <w:col w:w="10060"/>
          </w:cols>
          <w:pgMar w:left="240" w:top="801" w:right="239" w:bottom="1440" w:gutter="0" w:footer="0" w:header="0"/>
          <w:type w:val="continuous"/>
        </w:sectPr>
      </w:pPr>
    </w:p>
    <w:p>
      <w:pPr>
        <w:spacing w:after="0" w:line="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Where:</w:t>
      </w:r>
    </w:p>
    <w:p>
      <w:pPr>
        <w:sectPr>
          <w:pgSz w:w="11900" w:h="16838" w:orient="portrait"/>
          <w:cols w:equalWidth="0" w:num="1">
            <w:col w:w="11420"/>
          </w:cols>
          <w:pgMar w:left="240" w:top="801" w:right="239" w:bottom="1440" w:gutter="0" w:footer="0" w:header="0"/>
          <w:type w:val="continuous"/>
        </w:sectPr>
      </w:pP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AGR</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[(LT + SS) x (proration %)] + GRAF</w:t>
      </w:r>
    </w:p>
    <w:p>
      <w:pPr>
        <w:spacing w:after="0" w:line="200" w:lineRule="exact"/>
        <w:rPr>
          <w:sz w:val="20"/>
          <w:szCs w:val="20"/>
          <w:color w:val="auto"/>
        </w:rPr>
      </w:pPr>
    </w:p>
    <w:p>
      <w:pPr>
        <w:sectPr>
          <w:pgSz w:w="11900" w:h="16838" w:orient="portrait"/>
          <w:cols w:equalWidth="0" w:num="2">
            <w:col w:w="1120" w:space="180"/>
            <w:col w:w="10120"/>
          </w:cols>
          <w:pgMar w:left="240" w:top="801" w:right="2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AGR</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 adjusted gross revenue;</w:t>
      </w:r>
    </w:p>
    <w:p>
      <w:pPr>
        <w:spacing w:after="0" w:line="200" w:lineRule="exact"/>
        <w:rPr>
          <w:sz w:val="20"/>
          <w:szCs w:val="20"/>
          <w:color w:val="auto"/>
        </w:rPr>
      </w:pPr>
    </w:p>
    <w:p>
      <w:pPr>
        <w:sectPr>
          <w:pgSz w:w="11900" w:h="16838" w:orient="portrait"/>
          <w:cols w:equalWidth="0" w:num="2">
            <w:col w:w="460" w:space="500"/>
            <w:col w:w="10460"/>
          </w:cols>
          <w:pgMar w:left="240" w:top="801" w:right="2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 revenue from sales of alpine and nordic lift tickets and passes;</w:t>
      </w:r>
    </w:p>
    <w:p>
      <w:pPr>
        <w:spacing w:after="0" w:line="200" w:lineRule="exact"/>
        <w:rPr>
          <w:sz w:val="20"/>
          <w:szCs w:val="20"/>
          <w:color w:val="auto"/>
        </w:rPr>
      </w:pPr>
    </w:p>
    <w:p>
      <w:pPr>
        <w:sectPr>
          <w:pgSz w:w="11900" w:h="16838" w:orient="portrait"/>
          <w:cols w:equalWidth="0" w:num="2">
            <w:col w:w="260" w:space="480"/>
            <w:col w:w="10680"/>
          </w:cols>
          <w:pgMar w:left="240" w:top="801" w:right="2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GRAF</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 gross year-round revenue from ancillary facilities;</w:t>
      </w:r>
    </w:p>
    <w:p>
      <w:pPr>
        <w:spacing w:after="0" w:line="200" w:lineRule="exact"/>
        <w:rPr>
          <w:sz w:val="20"/>
          <w:szCs w:val="20"/>
          <w:color w:val="auto"/>
        </w:rPr>
      </w:pPr>
    </w:p>
    <w:p>
      <w:pPr>
        <w:sectPr>
          <w:pgSz w:w="11900" w:h="16838" w:orient="portrait"/>
          <w:cols w:equalWidth="0" w:num="2">
            <w:col w:w="580" w:space="500"/>
            <w:col w:w="10340"/>
          </w:cols>
          <w:pgMar w:left="240" w:top="801" w:right="2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Proration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 the factor to apportion revenue attributable to use of National Forest System lands;</w:t>
      </w:r>
    </w:p>
    <w:p>
      <w:pPr>
        <w:spacing w:after="0" w:line="200" w:lineRule="exact"/>
        <w:rPr>
          <w:sz w:val="20"/>
          <w:szCs w:val="20"/>
          <w:color w:val="auto"/>
        </w:rPr>
      </w:pPr>
    </w:p>
    <w:p>
      <w:pPr>
        <w:sectPr>
          <w:pgSz w:w="11900" w:h="16838" w:orient="portrait"/>
          <w:cols w:equalWidth="0" w:num="2">
            <w:col w:w="1040" w:space="280"/>
            <w:col w:w="10100"/>
          </w:cols>
          <w:pgMar w:left="240" w:top="801" w:right="2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SAPF</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 the ski area permit fee for use of National Forest System lands; and</w:t>
      </w:r>
    </w:p>
    <w:p>
      <w:pPr>
        <w:spacing w:after="0" w:line="200" w:lineRule="exact"/>
        <w:rPr>
          <w:sz w:val="20"/>
          <w:szCs w:val="20"/>
          <w:color w:val="auto"/>
        </w:rPr>
      </w:pPr>
    </w:p>
    <w:p>
      <w:pPr>
        <w:sectPr>
          <w:pgSz w:w="11900" w:h="16838" w:orient="portrait"/>
          <w:cols w:equalWidth="0" w:num="2">
            <w:col w:w="520" w:space="500"/>
            <w:col w:w="10400"/>
          </w:cols>
          <w:pgMar w:left="240" w:top="801" w:right="239" w:bottom="1440" w:gutter="0" w:footer="0" w:header="0"/>
          <w:type w:val="continuous"/>
        </w:sectPr>
      </w:pPr>
    </w:p>
    <w:p>
      <w:pPr>
        <w:spacing w:after="0" w:line="3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1"/>
          <w:szCs w:val="21"/>
          <w:color w:val="auto"/>
        </w:rPr>
        <w:t>SS</w:t>
      </w:r>
      <w:r>
        <w:rPr>
          <w:sz w:val="20"/>
          <w:szCs w:val="20"/>
          <w:color w:val="auto"/>
        </w:rPr>
        <w:tab/>
      </w:r>
      <w:r>
        <w:rPr>
          <w:rFonts w:ascii="Times New Roman" w:cs="Times New Roman" w:eastAsia="Times New Roman" w:hAnsi="Times New Roman"/>
          <w:sz w:val="21"/>
          <w:szCs w:val="21"/>
          <w:color w:val="auto"/>
        </w:rPr>
        <w:t>is revenue from alpine and nordic ski school operations.</w:t>
      </w:r>
    </w:p>
    <w:p>
      <w:pPr>
        <w:sectPr>
          <w:pgSz w:w="11900" w:h="16838" w:orient="portrait"/>
          <w:cols w:equalWidth="0" w:num="1">
            <w:col w:w="11420"/>
          </w:cols>
          <w:pgMar w:left="240" w:top="801" w:right="239" w:bottom="1440" w:gutter="0" w:footer="0" w:header="0"/>
          <w:type w:val="continuous"/>
        </w:sectPr>
      </w:pPr>
    </w:p>
    <w:p>
      <w:pPr>
        <w:spacing w:after="0" w:line="231" w:lineRule="exact"/>
        <w:rPr>
          <w:sz w:val="20"/>
          <w:szCs w:val="20"/>
          <w:color w:val="auto"/>
        </w:rPr>
      </w:pPr>
    </w:p>
    <w:p>
      <w:pPr>
        <w:ind w:right="200" w:firstLine="8"/>
        <w:spacing w:after="0" w:line="257" w:lineRule="auto"/>
        <w:tabs>
          <w:tab w:leader="none" w:pos="342"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SAPF shall be calculated by summing the results of multiplying the indicated percentage rates by the amount of the holder’s adjusted gross revenue (AGR), which falls into each of the four brackets. Follow direction in paragraph 2 to determine AGR. The permit fee shall be calculated based on the holder’s fiscal year, unless mutually agreed otherwise by the holder and the authorized officer.</w:t>
      </w:r>
    </w:p>
    <w:p>
      <w:pPr>
        <w:spacing w:after="0" w:line="172" w:lineRule="exact"/>
        <w:rPr>
          <w:sz w:val="20"/>
          <w:szCs w:val="20"/>
          <w:color w:val="auto"/>
        </w:rPr>
      </w:pPr>
    </w:p>
    <w:p>
      <w:pPr>
        <w:jc w:val="both"/>
        <w:ind w:right="120"/>
        <w:spacing w:after="0" w:line="275" w:lineRule="auto"/>
        <w:rPr>
          <w:sz w:val="20"/>
          <w:szCs w:val="20"/>
          <w:color w:val="auto"/>
        </w:rPr>
      </w:pPr>
      <w:r>
        <w:rPr>
          <w:rFonts w:ascii="Times New Roman" w:cs="Times New Roman" w:eastAsia="Times New Roman" w:hAnsi="Times New Roman"/>
          <w:sz w:val="21"/>
          <w:szCs w:val="21"/>
          <w:color w:val="auto"/>
        </w:rPr>
        <w:t>The four revenue brackets shall be adjusted annually by the consumer price index issued in FSH 2709.11, chapter 30. The revenue brackets shall be indexed for the previous calendar year. The holder’s AGR for any fiscal year shall not be split into more than one set of indexed brackets. Only the levels of AGR defined in each bracket are updated annually. The percentage rates do not change.</w:t>
      </w:r>
    </w:p>
    <w:p>
      <w:pPr>
        <w:spacing w:after="0" w:line="156"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22"/>
          <w:szCs w:val="22"/>
          <w:color w:val="auto"/>
        </w:rPr>
        <w:t>The revenue brackets and percentages displayed in Exhibit 01 shall be used as shown in the preceding formula to calculate the permit fee.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Adjusted Gross Revenue (AGR) Brackets and Associated Percentage Rates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for Use in Determining Ski Area Permit Fee (SAPF)</w:t>
      </w:r>
    </w:p>
    <w:p>
      <w:pPr>
        <w:sectPr>
          <w:pgSz w:w="11900" w:h="16838" w:orient="portrait"/>
          <w:cols w:equalWidth="0" w:num="1">
            <w:col w:w="11420"/>
          </w:cols>
          <w:pgMar w:left="240" w:top="801" w:right="239" w:bottom="1440" w:gutter="0" w:footer="0" w:header="0"/>
          <w:type w:val="continuous"/>
        </w:sectPr>
      </w:pPr>
    </w:p>
    <w:bookmarkStart w:id="112" w:name="page113"/>
    <w:bookmarkEnd w:id="112"/>
    <w:p>
      <w:pPr>
        <w:jc w:val="center"/>
        <w:ind w:right="-39"/>
        <w:spacing w:after="0"/>
        <w:rPr>
          <w:sz w:val="20"/>
          <w:szCs w:val="20"/>
          <w:color w:val="auto"/>
        </w:rPr>
      </w:pPr>
      <w:r>
        <w:rPr>
          <w:rFonts w:ascii="Times New Roman" w:cs="Times New Roman" w:eastAsia="Times New Roman" w:hAnsi="Times New Roman"/>
          <w:sz w:val="22"/>
          <w:szCs w:val="22"/>
          <w:color w:val="auto"/>
        </w:rPr>
        <w:t>Revenue Brackets (updated annually by CPI*)</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and Percentage Rates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Holder FY</w:t>
            </w:r>
          </w:p>
        </w:tc>
        <w:tc>
          <w:tcPr>
            <w:tcW w:w="2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Bracket 1 (1.5%)</w:t>
            </w:r>
          </w:p>
        </w:tc>
        <w:tc>
          <w:tcPr>
            <w:tcW w:w="2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Bracket 2 (2.5%)</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Bracket 3 (2.75%)</w:t>
            </w:r>
          </w:p>
        </w:tc>
        <w:tc>
          <w:tcPr>
            <w:tcW w:w="15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Bracket 4 (4%)</w:t>
            </w:r>
          </w:p>
        </w:tc>
      </w:tr>
      <w:tr>
        <w:trPr>
          <w:trHeight w:val="270"/>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FY 1996</w:t>
            </w:r>
          </w:p>
        </w:tc>
        <w:tc>
          <w:tcPr>
            <w:tcW w:w="2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All revenue</w:t>
            </w:r>
          </w:p>
        </w:tc>
        <w:tc>
          <w:tcPr>
            <w:tcW w:w="2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$ 3,000,000</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$15,000,000</w:t>
            </w:r>
          </w:p>
        </w:tc>
        <w:tc>
          <w:tcPr>
            <w:tcW w:w="1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All revenue</w:t>
            </w:r>
          </w:p>
        </w:tc>
      </w:tr>
      <w:tr>
        <w:trPr>
          <w:trHeight w:val="270"/>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CPI:</w:t>
            </w:r>
          </w:p>
        </w:tc>
        <w:tc>
          <w:tcPr>
            <w:tcW w:w="2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below</w:t>
            </w:r>
          </w:p>
        </w:tc>
        <w:tc>
          <w:tcPr>
            <w:tcW w:w="2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w:t>
            </w:r>
          </w:p>
        </w:tc>
        <w:tc>
          <w:tcPr>
            <w:tcW w:w="1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over</w:t>
            </w:r>
          </w:p>
        </w:tc>
      </w:tr>
      <w:tr>
        <w:trPr>
          <w:trHeight w:val="270"/>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c>
          <w:tcPr>
            <w:tcW w:w="2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$3,000,000</w:t>
            </w:r>
          </w:p>
        </w:tc>
        <w:tc>
          <w:tcPr>
            <w:tcW w:w="2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&lt;$15,000,000</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$50,000,000</w:t>
            </w:r>
          </w:p>
        </w:tc>
        <w:tc>
          <w:tcPr>
            <w:tcW w:w="1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$50,000,000</w:t>
            </w:r>
          </w:p>
        </w:tc>
      </w:tr>
      <w:tr>
        <w:trPr>
          <w:trHeight w:val="270"/>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FY 1997</w:t>
            </w:r>
          </w:p>
        </w:tc>
        <w:tc>
          <w:tcPr>
            <w:tcW w:w="2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All revenue</w:t>
            </w:r>
          </w:p>
        </w:tc>
        <w:tc>
          <w:tcPr>
            <w:tcW w:w="2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$ 3,090,000</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$15,450,000</w:t>
            </w:r>
          </w:p>
        </w:tc>
        <w:tc>
          <w:tcPr>
            <w:tcW w:w="1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All revenue</w:t>
            </w:r>
          </w:p>
        </w:tc>
      </w:tr>
      <w:tr>
        <w:trPr>
          <w:trHeight w:val="270"/>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CPI:</w:t>
            </w:r>
          </w:p>
        </w:tc>
        <w:tc>
          <w:tcPr>
            <w:tcW w:w="2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below</w:t>
            </w:r>
          </w:p>
        </w:tc>
        <w:tc>
          <w:tcPr>
            <w:tcW w:w="2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w:t>
            </w:r>
          </w:p>
        </w:tc>
        <w:tc>
          <w:tcPr>
            <w:tcW w:w="1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over</w:t>
            </w:r>
          </w:p>
        </w:tc>
      </w:tr>
      <w:tr>
        <w:trPr>
          <w:trHeight w:val="270"/>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2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$3,090,000</w:t>
            </w:r>
          </w:p>
        </w:tc>
        <w:tc>
          <w:tcPr>
            <w:tcW w:w="2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&lt;$15,450,000</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$51,500,000</w:t>
            </w:r>
          </w:p>
        </w:tc>
        <w:tc>
          <w:tcPr>
            <w:tcW w:w="1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$51,500,000</w:t>
            </w:r>
          </w:p>
        </w:tc>
      </w:tr>
      <w:tr>
        <w:trPr>
          <w:trHeight w:val="270"/>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FY 1998</w:t>
            </w:r>
          </w:p>
        </w:tc>
        <w:tc>
          <w:tcPr>
            <w:tcW w:w="2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All revenue</w:t>
            </w:r>
          </w:p>
        </w:tc>
        <w:tc>
          <w:tcPr>
            <w:tcW w:w="2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$ 3,158,000</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$15,790,000</w:t>
            </w:r>
          </w:p>
        </w:tc>
        <w:tc>
          <w:tcPr>
            <w:tcW w:w="1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All revenue</w:t>
            </w:r>
          </w:p>
        </w:tc>
      </w:tr>
      <w:tr>
        <w:trPr>
          <w:trHeight w:val="270"/>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CPI:</w:t>
            </w:r>
          </w:p>
        </w:tc>
        <w:tc>
          <w:tcPr>
            <w:tcW w:w="2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below</w:t>
            </w:r>
          </w:p>
        </w:tc>
        <w:tc>
          <w:tcPr>
            <w:tcW w:w="2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w:t>
            </w:r>
          </w:p>
        </w:tc>
        <w:tc>
          <w:tcPr>
            <w:tcW w:w="1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over</w:t>
            </w:r>
          </w:p>
        </w:tc>
      </w:tr>
      <w:tr>
        <w:trPr>
          <w:trHeight w:val="270"/>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2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$3,158,000</w:t>
            </w:r>
          </w:p>
        </w:tc>
        <w:tc>
          <w:tcPr>
            <w:tcW w:w="2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&lt;$15,790,000</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$52,633,000</w:t>
            </w:r>
          </w:p>
        </w:tc>
        <w:tc>
          <w:tcPr>
            <w:tcW w:w="1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$52,633,000</w:t>
            </w:r>
          </w:p>
        </w:tc>
      </w:tr>
      <w:tr>
        <w:trPr>
          <w:trHeight w:val="270"/>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FY 1999</w:t>
            </w:r>
          </w:p>
        </w:tc>
        <w:tc>
          <w:tcPr>
            <w:tcW w:w="2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All revenue</w:t>
            </w:r>
          </w:p>
        </w:tc>
        <w:tc>
          <w:tcPr>
            <w:tcW w:w="2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$ 3,212,000</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$16,058,000</w:t>
            </w:r>
          </w:p>
        </w:tc>
        <w:tc>
          <w:tcPr>
            <w:tcW w:w="1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All revenue</w:t>
            </w:r>
          </w:p>
        </w:tc>
      </w:tr>
      <w:tr>
        <w:trPr>
          <w:trHeight w:val="270"/>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CPI:</w:t>
            </w:r>
          </w:p>
        </w:tc>
        <w:tc>
          <w:tcPr>
            <w:tcW w:w="2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below</w:t>
            </w:r>
          </w:p>
        </w:tc>
        <w:tc>
          <w:tcPr>
            <w:tcW w:w="2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w:t>
            </w:r>
          </w:p>
        </w:tc>
        <w:tc>
          <w:tcPr>
            <w:tcW w:w="1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over</w:t>
            </w:r>
          </w:p>
        </w:tc>
      </w:tr>
      <w:tr>
        <w:trPr>
          <w:trHeight w:val="270"/>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2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$3,212,000</w:t>
            </w:r>
          </w:p>
        </w:tc>
        <w:tc>
          <w:tcPr>
            <w:tcW w:w="2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&lt;$16,058,000</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$53,528,000</w:t>
            </w:r>
          </w:p>
        </w:tc>
        <w:tc>
          <w:tcPr>
            <w:tcW w:w="1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$53,528,000</w:t>
            </w:r>
          </w:p>
        </w:tc>
      </w:tr>
      <w:tr>
        <w:trPr>
          <w:trHeight w:val="270"/>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FY 2000</w:t>
            </w:r>
          </w:p>
        </w:tc>
        <w:tc>
          <w:tcPr>
            <w:tcW w:w="51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BRACKETS WILL BE UPDATED ANNUALLY BY CPI*</w:t>
            </w:r>
          </w:p>
        </w:tc>
        <w:tc>
          <w:tcPr>
            <w:tcW w:w="19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and beyond</w:t>
            </w:r>
          </w:p>
        </w:tc>
        <w:tc>
          <w:tcPr>
            <w:tcW w:w="248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580" w:type="dxa"/>
            <w:vAlign w:val="bottom"/>
          </w:tcPr>
          <w:p>
            <w:pPr>
              <w:spacing w:after="0"/>
              <w:rPr>
                <w:sz w:val="23"/>
                <w:szCs w:val="23"/>
                <w:color w:val="auto"/>
              </w:rPr>
            </w:pPr>
          </w:p>
        </w:tc>
      </w:tr>
    </w:tbl>
    <w:p>
      <w:pPr>
        <w:spacing w:after="0" w:line="229"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22"/>
          <w:szCs w:val="22"/>
          <w:color w:val="auto"/>
        </w:rPr>
        <w:t>*The authorized officer shall notify the holder of the updated revenue brackets based on the Consumer Price Index (CPI) which is revised and issued annually in FSH 2709.11, chapter 30.</w:t>
      </w:r>
    </w:p>
    <w:p>
      <w:pPr>
        <w:spacing w:after="0" w:line="158" w:lineRule="exact"/>
        <w:rPr>
          <w:sz w:val="20"/>
          <w:szCs w:val="20"/>
          <w:color w:val="auto"/>
        </w:rPr>
      </w:pPr>
    </w:p>
    <w:p>
      <w:pPr>
        <w:ind w:right="40" w:firstLine="8"/>
        <w:spacing w:after="0" w:line="284" w:lineRule="auto"/>
        <w:tabs>
          <w:tab w:leader="none" w:pos="34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 shall be calculated by summing the revenue from lift tickets and ski school operations prorated for use of National Forest System lands and from ancillary facility operations conducted on National Forest System lands.</w:t>
      </w:r>
    </w:p>
    <w:p>
      <w:pPr>
        <w:spacing w:after="0" w:line="14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2"/>
          <w:szCs w:val="22"/>
          <w:color w:val="auto"/>
        </w:rPr>
        <w:t>Revenue inclusions shall be income from sales of alpine and nordic tickets and ski area passes; alpine and nordic ski school operations; gross revenue from ancillary facilities; the value of bartered goods and complimentary lift tickets (such as lift tickets provided free of charge to the holder’s friends or relatives); and special event revenue. Discriminatory pricing, a rate based solely on race, color, religion, sex, national origin, age, disability, or place of residence, is not allowed, but if it occurs, include the amount that would have been received had the discriminatory pricing transaction been made at the market price, the price generally available to an informed public, excluding special promotions.</w:t>
      </w:r>
    </w:p>
    <w:p>
      <w:pPr>
        <w:spacing w:after="0" w:line="18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Revenue exclusions shall be income from sales of operating equipment; refunds; rent paid to the holder by subholders; sponsor contributions to special events; any amount attributable to employee gratuities or employee lift tickets; discounts; ski area tickets or passes provided for a public safety or public service purpose (such as for National Ski Patrol or for volunteers to assist on the slope in the Special Olympics); and other goods or services (except for bartered goods and complimentary lift tickets) for which the holder does not receive money.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Include the following in AGR:</w:t>
      </w:r>
    </w:p>
    <w:p>
      <w:pPr>
        <w:spacing w:after="0" w:line="220" w:lineRule="exact"/>
        <w:rPr>
          <w:sz w:val="20"/>
          <w:szCs w:val="20"/>
          <w:color w:val="auto"/>
        </w:rPr>
      </w:pPr>
    </w:p>
    <w:p>
      <w:pPr>
        <w:ind w:left="660" w:right="60" w:hanging="4"/>
        <w:spacing w:after="0" w:line="263" w:lineRule="auto"/>
        <w:tabs>
          <w:tab w:leader="none" w:pos="99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Revenue from sales of year-round alpine and nordic ski area passes and tickets and revenue from alpine and nordic ski school operations prorated according to the percentage of use between National Forest System lands and private land in the ski area;</w:t>
      </w:r>
    </w:p>
    <w:p>
      <w:pPr>
        <w:spacing w:after="0" w:line="167" w:lineRule="exact"/>
        <w:rPr>
          <w:rFonts w:ascii="Times New Roman" w:cs="Times New Roman" w:eastAsia="Times New Roman" w:hAnsi="Times New Roman"/>
          <w:sz w:val="22"/>
          <w:szCs w:val="22"/>
          <w:color w:val="auto"/>
        </w:rPr>
      </w:pPr>
    </w:p>
    <w:p>
      <w:pPr>
        <w:ind w:left="1000" w:hanging="344"/>
        <w:spacing w:after="0"/>
        <w:tabs>
          <w:tab w:leader="none" w:pos="100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Gross year-round revenue from temporary and permanent ancillary facilities located on National Forest System lands;</w:t>
      </w:r>
    </w:p>
    <w:p>
      <w:pPr>
        <w:sectPr>
          <w:pgSz w:w="11900" w:h="16838" w:orient="portrait"/>
          <w:cols w:equalWidth="0" w:num="1">
            <w:col w:w="11380"/>
          </w:cols>
          <w:pgMar w:left="240" w:top="585" w:right="279" w:bottom="1440" w:gutter="0" w:footer="0" w:header="0"/>
        </w:sectPr>
      </w:pPr>
    </w:p>
    <w:bookmarkStart w:id="113" w:name="page114"/>
    <w:bookmarkEnd w:id="113"/>
    <w:p>
      <w:pPr>
        <w:ind w:left="652" w:right="60" w:hanging="4"/>
        <w:spacing w:after="0" w:line="253" w:lineRule="auto"/>
        <w:tabs>
          <w:tab w:leader="none" w:pos="982"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value of bartered goods and complimentary lift tickets, which are goods, services, or privileges that are not available to the general public (except for employee gratuities, employee lift tickets, and discounts, and except for ski area tickets and passes provided for a public safety or public service purpose) and that are donated or provided without charge in exchange for something of value to organizations or individuals (for example, ski area product discounts, service discounts, or lift tickets that are provided free of charge in exchange for advertising).</w:t>
      </w:r>
    </w:p>
    <w:p>
      <w:pPr>
        <w:spacing w:after="0" w:line="179" w:lineRule="exact"/>
        <w:rPr>
          <w:sz w:val="20"/>
          <w:szCs w:val="20"/>
          <w:color w:val="auto"/>
        </w:rPr>
      </w:pPr>
    </w:p>
    <w:p>
      <w:pPr>
        <w:ind w:left="652" w:right="220"/>
        <w:spacing w:after="0" w:line="252" w:lineRule="auto"/>
        <w:rPr>
          <w:sz w:val="20"/>
          <w:szCs w:val="20"/>
          <w:color w:val="auto"/>
        </w:rPr>
      </w:pPr>
      <w:r>
        <w:rPr>
          <w:rFonts w:ascii="Times New Roman" w:cs="Times New Roman" w:eastAsia="Times New Roman" w:hAnsi="Times New Roman"/>
          <w:sz w:val="22"/>
          <w:szCs w:val="22"/>
          <w:color w:val="auto"/>
        </w:rPr>
        <w:t>Bartered goods and complimentary lift tickets (except for employee gratuities, employee lift tickets, discounts, and except for ski area tickets and passes provided for a public safety or public service purpose) valued at market price shall be included in the AGR formula as revenue under LT, SS, or GRAF, depending on the type of goods, services, or privileges donated or bartered; and</w:t>
      </w:r>
    </w:p>
    <w:p>
      <w:pPr>
        <w:spacing w:after="0" w:line="180" w:lineRule="exact"/>
        <w:rPr>
          <w:sz w:val="20"/>
          <w:szCs w:val="20"/>
          <w:color w:val="auto"/>
        </w:rPr>
      </w:pPr>
    </w:p>
    <w:p>
      <w:pPr>
        <w:ind w:left="652" w:right="40" w:hanging="4"/>
        <w:spacing w:after="0" w:line="282" w:lineRule="auto"/>
        <w:tabs>
          <w:tab w:leader="none" w:pos="994"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Special event revenue from events, such as food festivals, foot races, and concerts. Special event revenue shall be included in the AGR formula as revenue under LT, SS, or GRAF, as applicable. Prorate revenue according to the percentage of use between National Forest System lands and private land as described in the following paragraphs 5 and 6.</w:t>
      </w:r>
    </w:p>
    <w:p>
      <w:pPr>
        <w:spacing w:after="0" w:line="148" w:lineRule="exact"/>
        <w:rPr>
          <w:rFonts w:ascii="Times New Roman" w:cs="Times New Roman" w:eastAsia="Times New Roman" w:hAnsi="Times New Roman"/>
          <w:sz w:val="21"/>
          <w:szCs w:val="21"/>
          <w:color w:val="auto"/>
        </w:rPr>
      </w:pPr>
    </w:p>
    <w:p>
      <w:pPr>
        <w:ind w:left="-8" w:right="40" w:firstLine="8"/>
        <w:spacing w:after="0" w:line="284" w:lineRule="auto"/>
        <w:tabs>
          <w:tab w:leader="none" w:pos="33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LT is the revenue from sales of alpine and nordic lift tickets and passes purchased for the purpose of using a ski area during any time of the year, including revenue that is generated on private land (such as from tickets sold on private land).</w:t>
      </w:r>
    </w:p>
    <w:p>
      <w:pPr>
        <w:spacing w:after="0" w:line="144" w:lineRule="exact"/>
        <w:rPr>
          <w:rFonts w:ascii="Times New Roman" w:cs="Times New Roman" w:eastAsia="Times New Roman" w:hAnsi="Times New Roman"/>
          <w:sz w:val="22"/>
          <w:szCs w:val="22"/>
          <w:color w:val="auto"/>
        </w:rPr>
      </w:pPr>
    </w:p>
    <w:p>
      <w:pPr>
        <w:ind w:left="-8" w:right="500" w:firstLine="8"/>
        <w:spacing w:after="0" w:line="309" w:lineRule="auto"/>
        <w:tabs>
          <w:tab w:leader="none" w:pos="334"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SS is the revenue from lessons provided to teach alpine or nordic skiing or other winter sports activities, such as racing, snowboarding, or snowshoeing, including revenue that is generated on private land (such as from tickets sold on private land).</w:t>
      </w:r>
    </w:p>
    <w:p>
      <w:pPr>
        <w:spacing w:after="0" w:line="120" w:lineRule="exact"/>
        <w:rPr>
          <w:rFonts w:ascii="Times New Roman" w:cs="Times New Roman" w:eastAsia="Times New Roman" w:hAnsi="Times New Roman"/>
          <w:sz w:val="21"/>
          <w:szCs w:val="21"/>
          <w:color w:val="auto"/>
        </w:rPr>
      </w:pPr>
    </w:p>
    <w:p>
      <w:pPr>
        <w:ind w:left="-8" w:right="20" w:firstLine="8"/>
        <w:spacing w:after="0" w:line="257" w:lineRule="auto"/>
        <w:tabs>
          <w:tab w:leader="none" w:pos="33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Proration % is the method used to prorate revenue from the sale of ski area passes and lift tickets and revenue from ski school operations between National Forest System lands and private land in the ski area. Separately prorate alpine and nordic revenue with an appropriate proration factor. Add prorated revenues together; then sum them with GRAF to arrive at AGR. Use one or both of the following methods, as appropriate:</w:t>
      </w:r>
    </w:p>
    <w:p>
      <w:pPr>
        <w:spacing w:after="0" w:line="172" w:lineRule="exact"/>
        <w:rPr>
          <w:rFonts w:ascii="Times New Roman" w:cs="Times New Roman" w:eastAsia="Times New Roman" w:hAnsi="Times New Roman"/>
          <w:sz w:val="22"/>
          <w:szCs w:val="22"/>
          <w:color w:val="auto"/>
        </w:rPr>
      </w:pPr>
    </w:p>
    <w:p>
      <w:pPr>
        <w:ind w:left="652" w:right="260" w:hanging="4"/>
        <w:spacing w:after="0" w:line="257" w:lineRule="auto"/>
        <w:tabs>
          <w:tab w:leader="none" w:pos="982"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STFP shall be the method used to prorate alpine revenue. The STFP direction contained in FSM 2715.11c effective in 1992 shall be used. Include in the calculation only uphill devices (lifts, tows, and tramways) that are fundamental to the winter sports operation (usually those located on both Federal and private land). Do not include people movers whose primary purpose is to shuttle people between parking areas or between parking areas and lodges and offices.</w:t>
      </w:r>
    </w:p>
    <w:p>
      <w:pPr>
        <w:spacing w:after="0" w:line="172" w:lineRule="exact"/>
        <w:rPr>
          <w:rFonts w:ascii="Times New Roman" w:cs="Times New Roman" w:eastAsia="Times New Roman" w:hAnsi="Times New Roman"/>
          <w:sz w:val="22"/>
          <w:szCs w:val="22"/>
          <w:color w:val="auto"/>
        </w:rPr>
      </w:pPr>
    </w:p>
    <w:p>
      <w:pPr>
        <w:ind w:left="652" w:right="280" w:hanging="4"/>
        <w:spacing w:after="0" w:line="284" w:lineRule="auto"/>
        <w:tabs>
          <w:tab w:leader="none" w:pos="994"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Nordic trail length is the method used to prorate nordic revenue. Use the percentage of trail length on National Forest System lands to total trail length.</w:t>
      </w:r>
    </w:p>
    <w:p>
      <w:pPr>
        <w:spacing w:after="0" w:line="144" w:lineRule="exact"/>
        <w:rPr>
          <w:rFonts w:ascii="Times New Roman" w:cs="Times New Roman" w:eastAsia="Times New Roman" w:hAnsi="Times New Roman"/>
          <w:sz w:val="22"/>
          <w:szCs w:val="22"/>
          <w:color w:val="auto"/>
        </w:rPr>
      </w:pPr>
    </w:p>
    <w:p>
      <w:pPr>
        <w:ind w:left="-8" w:firstLine="8"/>
        <w:spacing w:after="0" w:line="253" w:lineRule="auto"/>
        <w:tabs>
          <w:tab w:leader="none" w:pos="33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GRAF is the revenue from ancillary facilities, including all of the holder’s or subholder’s lodging, food service, rental shops, parking, and other ancillary operations located on National Forest System lands. Do not include revenue that is generated on private land. For facilities that are partially located on National Forest System lands, calculate the ratio of the facility square footage located on National Forest System lands to the total facility square footage. Special event revenue allocatable to GRAF shall be prorated by the ratio of use on National Forest System lands to the total use.</w:t>
      </w:r>
    </w:p>
    <w:p>
      <w:pPr>
        <w:sectPr>
          <w:pgSz w:w="11900" w:h="16838" w:orient="portrait"/>
          <w:cols w:equalWidth="0" w:num="1">
            <w:col w:w="11412"/>
          </w:cols>
          <w:pgMar w:left="248" w:top="801" w:right="239" w:bottom="1440" w:gutter="0" w:footer="0" w:header="0"/>
        </w:sectPr>
      </w:pPr>
    </w:p>
    <w:bookmarkStart w:id="114" w:name="page115"/>
    <w:bookmarkEnd w:id="114"/>
    <w:p>
      <w:pPr>
        <w:jc w:val="both"/>
        <w:ind w:left="-8" w:right="20" w:firstLine="8"/>
        <w:spacing w:after="0" w:line="263" w:lineRule="auto"/>
        <w:tabs>
          <w:tab w:leader="none" w:pos="33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cases when the holder has no AGR for a given fiscal year, the holder shall pay a permit fee of $2 per acre for National Forest System lands under permit or a percentage of the appraised value of National Forest System lands under permit, at the discretion of the authorized officer.</w:t>
      </w:r>
    </w:p>
    <w:p>
      <w:pPr>
        <w:spacing w:after="0" w:line="168" w:lineRule="exact"/>
        <w:rPr>
          <w:sz w:val="20"/>
          <w:szCs w:val="20"/>
          <w:color w:val="auto"/>
        </w:rPr>
      </w:pPr>
    </w:p>
    <w:p>
      <w:pPr>
        <w:ind w:left="-8" w:right="540" w:firstLine="8"/>
        <w:spacing w:after="0" w:line="263" w:lineRule="auto"/>
        <w:tabs>
          <w:tab w:leader="none" w:pos="37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Fee Payments. Reports and deposits shall be tendered in accordance with the following schedule. They shall be sent or delivered to the collection officer, USDA, Forest Service, at the address furnished by the authorized officer. Checks or money orders shall be made payable to: USDA, Forest Service.</w:t>
      </w:r>
    </w:p>
    <w:p>
      <w:pPr>
        <w:spacing w:after="0" w:line="167" w:lineRule="exact"/>
        <w:rPr>
          <w:rFonts w:ascii="Times New Roman" w:cs="Times New Roman" w:eastAsia="Times New Roman" w:hAnsi="Times New Roman"/>
          <w:sz w:val="22"/>
          <w:szCs w:val="22"/>
          <w:color w:val="auto"/>
        </w:rPr>
      </w:pPr>
    </w:p>
    <w:p>
      <w:pPr>
        <w:ind w:left="652" w:hanging="4"/>
        <w:spacing w:after="0" w:line="249" w:lineRule="auto"/>
        <w:tabs>
          <w:tab w:leader="none" w:pos="994"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shall calculate and submit an advance payment which is due by the beginning of the holder’s payment cycle. The advance payment shall equal 20 percent of the holder’s average permit fee for 3 operating years, when available. When past permit fee information is not available, the advance payment shall equal 20 percent of the permit fee, based on the prior holder’s average fee or projected AGR. For ski areas not expected to generate AGR for a given payment cycle, advance payment of the permit fee as calculated in item A, paragraph 7 ($2 per acre for National Forest System lands under permit or a percentage of the appraised value of National Forest System lands under permit, at the discretion of the authorized officer) shall be made. The advance payment shall be credited (item B, paragraph 3) toward the total ski area permit fee for the payment cycle.</w:t>
      </w:r>
    </w:p>
    <w:p>
      <w:pPr>
        <w:spacing w:after="0" w:line="182" w:lineRule="exact"/>
        <w:rPr>
          <w:rFonts w:ascii="Times New Roman" w:cs="Times New Roman" w:eastAsia="Times New Roman" w:hAnsi="Times New Roman"/>
          <w:sz w:val="22"/>
          <w:szCs w:val="22"/>
          <w:color w:val="auto"/>
        </w:rPr>
      </w:pPr>
    </w:p>
    <w:p>
      <w:pPr>
        <w:ind w:left="652" w:right="220" w:hanging="4"/>
        <w:spacing w:after="0" w:line="253" w:lineRule="auto"/>
        <w:tabs>
          <w:tab w:leader="none" w:pos="994"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shall report sales, calculate fees due based on a tentative percentage rate, and make interim payments each calendar Month except for periods in which no sales take place and the holder has notified the authorized officer that the operation has entered a seasonal shutdown for a specific period. Reports and payments shall be made by the end of the month following the end of each reportable period. Interim payments shall be credited (item B, paragraph 3) toward the total ski area permit fee for the payment cycle.</w:t>
      </w:r>
    </w:p>
    <w:p>
      <w:pPr>
        <w:spacing w:after="0" w:line="179" w:lineRule="exact"/>
        <w:rPr>
          <w:rFonts w:ascii="Times New Roman" w:cs="Times New Roman" w:eastAsia="Times New Roman" w:hAnsi="Times New Roman"/>
          <w:sz w:val="22"/>
          <w:szCs w:val="22"/>
          <w:color w:val="auto"/>
        </w:rPr>
      </w:pPr>
    </w:p>
    <w:p>
      <w:pPr>
        <w:jc w:val="both"/>
        <w:ind w:left="652" w:right="20" w:hanging="4"/>
        <w:spacing w:after="0" w:line="253" w:lineRule="auto"/>
        <w:tabs>
          <w:tab w:leader="none" w:pos="994"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90 days after the close of the ski area’s payment cycle, the holder shall provide a financial statement, including a completed permit fee information form, Form FS-2700-19a, representing the ski area’s financial condition at the close of its business year and an annual operating statement reporting the results of operations, including a final payment which includes year-end adjustments for the holder and each subholder for the same period. Any balance that exists may be credited and applied against the next payment due or refunded, at the discretion of the permit holder.</w:t>
      </w:r>
    </w:p>
    <w:p>
      <w:pPr>
        <w:spacing w:after="0" w:line="179" w:lineRule="exact"/>
        <w:rPr>
          <w:rFonts w:ascii="Times New Roman" w:cs="Times New Roman" w:eastAsia="Times New Roman" w:hAnsi="Times New Roman"/>
          <w:sz w:val="22"/>
          <w:szCs w:val="22"/>
          <w:color w:val="auto"/>
        </w:rPr>
      </w:pPr>
    </w:p>
    <w:p>
      <w:pPr>
        <w:ind w:left="652" w:right="40" w:hanging="4"/>
        <w:spacing w:after="0" w:line="284" w:lineRule="auto"/>
        <w:tabs>
          <w:tab w:leader="none" w:pos="994"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30 days of receipt of a statement from the Forest Service, the holder shall make any additional payment required to ensure that the correct ski area permit fee is paid for the past year’s operation.</w:t>
      </w:r>
    </w:p>
    <w:p>
      <w:pPr>
        <w:spacing w:after="0" w:line="144" w:lineRule="exact"/>
        <w:rPr>
          <w:rFonts w:ascii="Times New Roman" w:cs="Times New Roman" w:eastAsia="Times New Roman" w:hAnsi="Times New Roman"/>
          <w:sz w:val="22"/>
          <w:szCs w:val="22"/>
          <w:color w:val="auto"/>
        </w:rPr>
      </w:pPr>
    </w:p>
    <w:p>
      <w:pPr>
        <w:ind w:left="652" w:right="280" w:hanging="4"/>
        <w:spacing w:after="0" w:line="263" w:lineRule="auto"/>
        <w:tabs>
          <w:tab w:leader="none" w:pos="994"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shall be credited on the date received by the designated collection officer. If the due date for the fee or fee calculation financial statement falls on a non-workday, the charges shall not accrue until the close of business on the next workday.</w:t>
      </w:r>
    </w:p>
    <w:p>
      <w:pPr>
        <w:spacing w:after="0" w:line="167" w:lineRule="exact"/>
        <w:rPr>
          <w:rFonts w:ascii="Times New Roman" w:cs="Times New Roman" w:eastAsia="Times New Roman" w:hAnsi="Times New Roman"/>
          <w:sz w:val="22"/>
          <w:szCs w:val="22"/>
          <w:color w:val="auto"/>
        </w:rPr>
      </w:pPr>
    </w:p>
    <w:p>
      <w:pPr>
        <w:ind w:left="652" w:right="200" w:hanging="4"/>
        <w:spacing w:after="0" w:line="257" w:lineRule="auto"/>
        <w:tabs>
          <w:tab w:leader="none" w:pos="994"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permit fee calculations and records of sales are subject to review or periodic audit as determined by the authorized officer. Errors in calculation or payment shall be corrected as needed for conformance with those reviews or audits. In accordance with the Late Payment Interest, Administrative Costs and Penalties clause contained in this authorization, interest and penalties shall be assessed on additional fees due as a result of reviews or audits.</w:t>
      </w:r>
    </w:p>
    <w:p>
      <w:pPr>
        <w:sectPr>
          <w:pgSz w:w="11900" w:h="16838" w:orient="portrait"/>
          <w:cols w:equalWidth="0" w:num="1">
            <w:col w:w="11392"/>
          </w:cols>
          <w:pgMar w:left="248" w:top="801" w:right="259" w:bottom="1440" w:gutter="0" w:footer="0" w:header="0"/>
        </w:sectPr>
      </w:pPr>
    </w:p>
    <w:bookmarkStart w:id="115" w:name="page116"/>
    <w:bookmarkEnd w:id="115"/>
    <w:p>
      <w:pPr>
        <w:ind w:right="280" w:firstLine="8"/>
        <w:spacing w:after="0" w:line="263" w:lineRule="auto"/>
        <w:tabs>
          <w:tab w:leader="none" w:pos="37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Correcting Errors. Correction of errors includes any action necessary to calculate the holder’s sales or slope transport fee percentage or to make any other determination required to calculate permit fees accurately. For fee calculation purposes, an error may include:</w:t>
      </w:r>
    </w:p>
    <w:p>
      <w:pPr>
        <w:spacing w:after="0" w:line="200" w:lineRule="exact"/>
        <w:rPr>
          <w:rFonts w:ascii="Times New Roman" w:cs="Times New Roman" w:eastAsia="Times New Roman" w:hAnsi="Times New Roman"/>
          <w:sz w:val="22"/>
          <w:szCs w:val="22"/>
          <w:color w:val="auto"/>
        </w:rPr>
      </w:pPr>
    </w:p>
    <w:p>
      <w:pPr>
        <w:spacing w:after="0" w:line="224"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Misreporting or misrepresentation of amounts;</w:t>
      </w:r>
    </w:p>
    <w:p>
      <w:pPr>
        <w:spacing w:after="0" w:line="29" w:lineRule="exact"/>
        <w:rPr>
          <w:rFonts w:ascii="Times New Roman" w:cs="Times New Roman" w:eastAsia="Times New Roman" w:hAnsi="Times New Roman"/>
          <w:sz w:val="22"/>
          <w:szCs w:val="22"/>
          <w:color w:val="auto"/>
        </w:rPr>
      </w:pPr>
    </w:p>
    <w:p>
      <w:pPr>
        <w:ind w:left="1000" w:hanging="344"/>
        <w:spacing w:after="0"/>
        <w:tabs>
          <w:tab w:leader="none" w:pos="1000"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Arithmetic mistakes;</w:t>
      </w:r>
    </w:p>
    <w:p>
      <w:pPr>
        <w:spacing w:after="0" w:line="17"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Typographic mistakes; or</w:t>
      </w:r>
    </w:p>
    <w:p>
      <w:pPr>
        <w:spacing w:after="0" w:line="17" w:lineRule="exact"/>
        <w:rPr>
          <w:rFonts w:ascii="Times New Roman" w:cs="Times New Roman" w:eastAsia="Times New Roman" w:hAnsi="Times New Roman"/>
          <w:sz w:val="22"/>
          <w:szCs w:val="22"/>
          <w:color w:val="auto"/>
        </w:rPr>
      </w:pPr>
    </w:p>
    <w:p>
      <w:pPr>
        <w:ind w:left="660" w:right="160" w:hanging="4"/>
        <w:spacing w:after="0" w:line="272" w:lineRule="auto"/>
        <w:tabs>
          <w:tab w:leader="none" w:pos="1002"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Variation from generally accepted accounting principles (GAAP), when such variations are inconsistent with the terms of this permit.</w:t>
      </w:r>
    </w:p>
    <w:p>
      <w:pPr>
        <w:spacing w:after="0" w:line="157"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22"/>
          <w:szCs w:val="22"/>
          <w:color w:val="auto"/>
        </w:rPr>
        <w:t>Correction of errors shall be made retroactively to the date the error was made or to the previous audit period, whichever is more recent, and past fees shall be adjusted accordingly.</w:t>
      </w:r>
    </w:p>
    <w:p>
      <w:pPr>
        <w:spacing w:after="0" w:line="158" w:lineRule="exact"/>
        <w:rPr>
          <w:sz w:val="20"/>
          <w:szCs w:val="20"/>
          <w:color w:val="auto"/>
        </w:rPr>
      </w:pPr>
    </w:p>
    <w:p>
      <w:pPr>
        <w:ind w:right="20" w:firstLine="8"/>
        <w:spacing w:after="0" w:line="251" w:lineRule="auto"/>
        <w:tabs>
          <w:tab w:leader="none" w:pos="39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Late Payment Interest, Administrative Costs and Penalties</w:t>
      </w:r>
      <w:r>
        <w:rPr>
          <w:rFonts w:ascii="Times New Roman" w:cs="Times New Roman" w:eastAsia="Times New Roman" w:hAnsi="Times New Roman"/>
          <w:sz w:val="22"/>
          <w:szCs w:val="22"/>
          <w:color w:val="auto"/>
        </w:rPr>
        <w:t>. Pursuant to 31 U.S.C. 3717, et seq., interest shall be charged on any fee amount not paid within 30 days from the date the fee or fee calculation financial statement specified in this authorization becomes due. The rate of interest assessed shall be the higher of the rate of the current value of funds to the U.S. Treasury (i.e., Treasury tax and loan account rate), as prescribed and published by the Secretary of the Treasury In the Federal Register and the Treasury Fiscal Requirements Manual Bulletins annually or quarterly or at the Prompt Payment Act rate. Interest on the principal shall accrue from the date the fee or fee calculation financial statement is due.</w:t>
      </w:r>
    </w:p>
    <w:p>
      <w:pPr>
        <w:spacing w:after="0" w:line="182" w:lineRule="exact"/>
        <w:rPr>
          <w:sz w:val="20"/>
          <w:szCs w:val="20"/>
          <w:color w:val="auto"/>
        </w:rPr>
      </w:pPr>
    </w:p>
    <w:p>
      <w:pPr>
        <w:ind w:right="520"/>
        <w:spacing w:after="0" w:line="271" w:lineRule="auto"/>
        <w:rPr>
          <w:sz w:val="20"/>
          <w:szCs w:val="20"/>
          <w:color w:val="auto"/>
        </w:rPr>
      </w:pPr>
      <w:r>
        <w:rPr>
          <w:rFonts w:ascii="Times New Roman" w:cs="Times New Roman" w:eastAsia="Times New Roman" w:hAnsi="Times New Roman"/>
          <w:sz w:val="22"/>
          <w:szCs w:val="22"/>
          <w:color w:val="auto"/>
        </w:rPr>
        <w:t>In the event the account becomes delinquent, administrative costs to cover processing and handling of the delinquency will be assessed.</w:t>
      </w:r>
    </w:p>
    <w:p>
      <w:pPr>
        <w:spacing w:after="0" w:line="158"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22"/>
          <w:szCs w:val="22"/>
          <w:color w:val="auto"/>
        </w:rPr>
        <w:t>A penalty of 6 percent per annum shall be assessed on the total amount delinquent in excess of 90 days and shall accrue from the same date on which interest charges begin to accrue.</w:t>
      </w:r>
    </w:p>
    <w:p>
      <w:pPr>
        <w:spacing w:after="0" w:line="158"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22"/>
          <w:szCs w:val="22"/>
          <w:color w:val="auto"/>
        </w:rPr>
        <w:t>Payments will be credited on the date received by the designated collection officer or deposit location. If the due date for the fee or fee calculation statement falls on a non-workday, the charges shall not apply until the close of business on the next workday.</w:t>
      </w:r>
    </w:p>
    <w:p>
      <w:pPr>
        <w:spacing w:after="0" w:line="158"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21"/>
          <w:szCs w:val="21"/>
          <w:color w:val="auto"/>
        </w:rPr>
        <w:t>Disputed fees are due and payable by the due date. No appeal of fees will be considered by the Forest Service without full payment of the disputed amount. Adjustments, if necessary, will be made in accordance with settlement terms or the appeal decision.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the fees become delinquent, the Forest Service will:</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Liquidate any security or collateral provided by the authorization.</w:t>
      </w:r>
    </w:p>
    <w:p>
      <w:pPr>
        <w:spacing w:after="0" w:line="220" w:lineRule="exact"/>
        <w:rPr>
          <w:sz w:val="20"/>
          <w:szCs w:val="20"/>
          <w:color w:val="auto"/>
        </w:rPr>
      </w:pPr>
    </w:p>
    <w:p>
      <w:pPr>
        <w:ind w:left="660" w:right="20"/>
        <w:spacing w:after="0" w:line="271" w:lineRule="auto"/>
        <w:rPr>
          <w:sz w:val="20"/>
          <w:szCs w:val="20"/>
          <w:color w:val="auto"/>
        </w:rPr>
      </w:pPr>
      <w:r>
        <w:rPr>
          <w:rFonts w:ascii="Times New Roman" w:cs="Times New Roman" w:eastAsia="Times New Roman" w:hAnsi="Times New Roman"/>
          <w:sz w:val="22"/>
          <w:szCs w:val="22"/>
          <w:color w:val="auto"/>
        </w:rPr>
        <w:t>If no security or collateral is provided, the authorization will terminate and the holder will be responsible for delinquent fees as well as any other costs of restoring the site to it’s original condition including hazardous waste cleanup.</w:t>
      </w:r>
    </w:p>
    <w:p>
      <w:pPr>
        <w:spacing w:after="0" w:line="15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2"/>
          <w:szCs w:val="22"/>
          <w:color w:val="auto"/>
        </w:rPr>
        <w:t>Upon termination or revocation of the authorization, delinquent fees and other charges associated with the authorization will be subject to all rights and remedies afforded the United States pursuant to 31 U.S.C. 3711 et seq. Delinquencies may be subject to any or all of the following conditions: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Administrative offset of payments due the holder from the Forest Service.</w:t>
      </w:r>
    </w:p>
    <w:p>
      <w:pPr>
        <w:sectPr>
          <w:pgSz w:w="11900" w:h="16838" w:orient="portrait"/>
          <w:cols w:equalWidth="0" w:num="1">
            <w:col w:w="11420"/>
          </w:cols>
          <w:pgMar w:left="240" w:top="801" w:right="239" w:bottom="1440" w:gutter="0" w:footer="0" w:header="0"/>
        </w:sectPr>
      </w:pPr>
    </w:p>
    <w:bookmarkStart w:id="116" w:name="page117"/>
    <w:bookmarkEnd w:id="116"/>
    <w:p>
      <w:pPr>
        <w:ind w:left="660" w:right="380"/>
        <w:spacing w:after="0" w:line="271" w:lineRule="auto"/>
        <w:rPr>
          <w:sz w:val="20"/>
          <w:szCs w:val="20"/>
          <w:color w:val="auto"/>
        </w:rPr>
      </w:pPr>
      <w:r>
        <w:rPr>
          <w:rFonts w:ascii="Times New Roman" w:cs="Times New Roman" w:eastAsia="Times New Roman" w:hAnsi="Times New Roman"/>
          <w:sz w:val="22"/>
          <w:szCs w:val="22"/>
          <w:color w:val="auto"/>
        </w:rPr>
        <w:t>Delinquencies in excess of 60 days shall be referred to United States Department of Treasury for appropriate collection action as provided by 31 U.S.C. 3711 (g), (1).</w:t>
      </w:r>
    </w:p>
    <w:p>
      <w:pPr>
        <w:spacing w:after="0" w:line="158" w:lineRule="exact"/>
        <w:rPr>
          <w:sz w:val="20"/>
          <w:szCs w:val="20"/>
          <w:color w:val="auto"/>
        </w:rPr>
      </w:pPr>
    </w:p>
    <w:p>
      <w:pPr>
        <w:ind w:left="660" w:right="120"/>
        <w:spacing w:after="0" w:line="271" w:lineRule="auto"/>
        <w:rPr>
          <w:sz w:val="20"/>
          <w:szCs w:val="20"/>
          <w:color w:val="auto"/>
        </w:rPr>
      </w:pPr>
      <w:r>
        <w:rPr>
          <w:rFonts w:ascii="Times New Roman" w:cs="Times New Roman" w:eastAsia="Times New Roman" w:hAnsi="Times New Roman"/>
          <w:sz w:val="22"/>
          <w:szCs w:val="22"/>
          <w:color w:val="auto"/>
        </w:rPr>
        <w:t>The Secretary of the Treasury may offset an amount due the debtor for any delinquency as provided by 31 U.S.C. 3720, et seq.)</w:t>
      </w:r>
    </w:p>
    <w:p>
      <w:pPr>
        <w:spacing w:after="0" w:line="158" w:lineRule="exact"/>
        <w:rPr>
          <w:sz w:val="20"/>
          <w:szCs w:val="20"/>
          <w:color w:val="auto"/>
        </w:rPr>
      </w:pPr>
    </w:p>
    <w:p>
      <w:pPr>
        <w:jc w:val="both"/>
        <w:ind w:right="160" w:firstLine="8"/>
        <w:spacing w:after="0" w:line="263" w:lineRule="auto"/>
        <w:tabs>
          <w:tab w:leader="none" w:pos="36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Nonpayment</w:t>
      </w:r>
      <w:r>
        <w:rPr>
          <w:rFonts w:ascii="Times New Roman" w:cs="Times New Roman" w:eastAsia="Times New Roman" w:hAnsi="Times New Roman"/>
          <w:sz w:val="22"/>
          <w:szCs w:val="22"/>
          <w:color w:val="auto"/>
        </w:rPr>
        <w:t>. Failure of the holder to make timely payments, pay interest charges or any other charges when due, constitutes breach and shall be grounds for termination of this authorization. This permit terminates for nonpayment of any monies owed the United States when more than 90 days in arrears.</w:t>
      </w:r>
    </w:p>
    <w:p>
      <w:pPr>
        <w:spacing w:after="0" w:line="167" w:lineRule="exact"/>
        <w:rPr>
          <w:rFonts w:ascii="Times New Roman" w:cs="Times New Roman" w:eastAsia="Times New Roman" w:hAnsi="Times New Roman"/>
          <w:sz w:val="22"/>
          <w:szCs w:val="22"/>
          <w:color w:val="auto"/>
        </w:rPr>
      </w:pPr>
    </w:p>
    <w:p>
      <w:pPr>
        <w:ind w:right="180" w:firstLine="8"/>
        <w:spacing w:after="0" w:line="251" w:lineRule="auto"/>
        <w:tabs>
          <w:tab w:leader="none" w:pos="337"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Access to Records</w:t>
      </w:r>
      <w:r>
        <w:rPr>
          <w:rFonts w:ascii="Times New Roman" w:cs="Times New Roman" w:eastAsia="Times New Roman" w:hAnsi="Times New Roman"/>
          <w:sz w:val="22"/>
          <w:szCs w:val="22"/>
          <w:color w:val="auto"/>
        </w:rPr>
        <w:t>. For the purpose of administering this permit (including ascertaining that fees paid were correct and evaluating the propriety of the fee base), the holder agrees to make all of the accounting books and supporting records to the business activities, as well as those of sublessees operating within the authority of this permit, available for analysis by qualified representatives of the Forest Service or other Federal agencies authorized to review the Forest Service activities. Review of accounting books and supporting records shall be made at dates convenient to the holder and reviewers. Financial information so obtained shall be treated as confidential as provided in regulations issued by the Secretary of Agriculture.</w:t>
      </w:r>
    </w:p>
    <w:p>
      <w:pPr>
        <w:spacing w:after="0" w:line="182"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22"/>
          <w:szCs w:val="22"/>
          <w:color w:val="auto"/>
        </w:rPr>
        <w:t>The holder shall retain the above records and keep them available for review for 5 years after the end of the year involved, unless disposition is otherwise approved by the authorized officer in writing.</w:t>
      </w:r>
    </w:p>
    <w:p>
      <w:pPr>
        <w:spacing w:after="0" w:line="158" w:lineRule="exact"/>
        <w:rPr>
          <w:sz w:val="20"/>
          <w:szCs w:val="20"/>
          <w:color w:val="auto"/>
        </w:rPr>
      </w:pPr>
    </w:p>
    <w:p>
      <w:pPr>
        <w:ind w:firstLine="8"/>
        <w:spacing w:after="0" w:line="253" w:lineRule="auto"/>
        <w:tabs>
          <w:tab w:leader="none" w:pos="39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Accounting Records</w:t>
      </w:r>
      <w:r>
        <w:rPr>
          <w:rFonts w:ascii="Times New Roman" w:cs="Times New Roman" w:eastAsia="Times New Roman" w:hAnsi="Times New Roman"/>
          <w:sz w:val="22"/>
          <w:szCs w:val="22"/>
          <w:color w:val="auto"/>
        </w:rPr>
        <w:t>. The holder shall follow Generally Accepted Accounting Principles or Other Comprehensive Bases of Accounting acceptable to the Forest Service in recording financial transactions and in reporting results to the authorized officer. When requested by the authorized officer, the holder at its own expense, shall have the annual accounting reports audited or prepared by a licensed independent accountant acceptable to the Forest Service. The holder shall require sublessees to comply with these same requirements. The minimum acceptable accounting system shall include:</w:t>
      </w:r>
    </w:p>
    <w:p>
      <w:pPr>
        <w:spacing w:after="0" w:line="179" w:lineRule="exact"/>
        <w:rPr>
          <w:rFonts w:ascii="Times New Roman" w:cs="Times New Roman" w:eastAsia="Times New Roman" w:hAnsi="Times New Roman"/>
          <w:sz w:val="22"/>
          <w:szCs w:val="22"/>
          <w:color w:val="auto"/>
        </w:rPr>
      </w:pPr>
    </w:p>
    <w:p>
      <w:pPr>
        <w:ind w:left="660" w:right="220" w:hanging="4"/>
        <w:spacing w:after="0" w:line="257" w:lineRule="auto"/>
        <w:tabs>
          <w:tab w:leader="none" w:pos="1002"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Systematic internal controls and recording by kind of business the gross receipts derived from all sources of business conducted under this permit. Receipts should be recorded daily and, if possible, deposited into a bank account without reduction by disbursements. Receipt entries shall be supported by source documents such as cash-register tapes, sale invoices, rental records, and cash accounts from other sources.</w:t>
      </w:r>
    </w:p>
    <w:p>
      <w:pPr>
        <w:spacing w:after="0" w:line="172" w:lineRule="exact"/>
        <w:rPr>
          <w:rFonts w:ascii="Times New Roman" w:cs="Times New Roman" w:eastAsia="Times New Roman" w:hAnsi="Times New Roman"/>
          <w:sz w:val="22"/>
          <w:szCs w:val="22"/>
          <w:color w:val="auto"/>
        </w:rPr>
      </w:pPr>
    </w:p>
    <w:p>
      <w:pPr>
        <w:ind w:left="660" w:right="200" w:hanging="4"/>
        <w:spacing w:after="0" w:line="284" w:lineRule="auto"/>
        <w:tabs>
          <w:tab w:leader="none" w:pos="1002"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permanent record of investments in facilities (depreciation schedule), and current source documents for acquisition costs of capital items.</w:t>
      </w:r>
    </w:p>
    <w:p>
      <w:pPr>
        <w:spacing w:after="0" w:line="144" w:lineRule="exact"/>
        <w:rPr>
          <w:rFonts w:ascii="Times New Roman" w:cs="Times New Roman" w:eastAsia="Times New Roman" w:hAnsi="Times New Roman"/>
          <w:sz w:val="22"/>
          <w:szCs w:val="22"/>
          <w:color w:val="auto"/>
        </w:rPr>
      </w:pPr>
    </w:p>
    <w:p>
      <w:pPr>
        <w:ind w:left="1000" w:hanging="344"/>
        <w:spacing w:after="0"/>
        <w:tabs>
          <w:tab w:leader="none" w:pos="100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Preparation and maintenance of such special records and accounts as may be specified by the authorized officer.</w:t>
      </w:r>
    </w:p>
    <w:p>
      <w:pPr>
        <w:spacing w:after="0" w:line="22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b w:val="1"/>
          <w:bCs w:val="1"/>
          <w:color w:val="auto"/>
        </w:rPr>
        <w:t>VII.</w:t>
      </w:r>
      <w:r>
        <w:rPr>
          <w:sz w:val="20"/>
          <w:szCs w:val="20"/>
          <w:color w:val="auto"/>
        </w:rPr>
        <w:tab/>
      </w:r>
      <w:r>
        <w:rPr>
          <w:rFonts w:ascii="Times New Roman" w:cs="Times New Roman" w:eastAsia="Times New Roman" w:hAnsi="Times New Roman"/>
          <w:sz w:val="21"/>
          <w:szCs w:val="21"/>
          <w:b w:val="1"/>
          <w:bCs w:val="1"/>
          <w:color w:val="auto"/>
        </w:rPr>
        <w:t>TRANSFER AND SALE</w:t>
      </w:r>
    </w:p>
    <w:p>
      <w:pPr>
        <w:spacing w:after="0" w:line="237" w:lineRule="exact"/>
        <w:rPr>
          <w:sz w:val="20"/>
          <w:szCs w:val="20"/>
          <w:color w:val="auto"/>
        </w:rPr>
      </w:pPr>
    </w:p>
    <w:p>
      <w:pPr>
        <w:ind w:right="320" w:firstLine="8"/>
        <w:spacing w:after="0" w:line="257" w:lineRule="auto"/>
        <w:tabs>
          <w:tab w:leader="none" w:pos="39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Subleasing</w:t>
      </w:r>
      <w:r>
        <w:rPr>
          <w:rFonts w:ascii="Times New Roman" w:cs="Times New Roman" w:eastAsia="Times New Roman" w:hAnsi="Times New Roman"/>
          <w:sz w:val="22"/>
          <w:szCs w:val="22"/>
          <w:color w:val="auto"/>
        </w:rPr>
        <w:t>. The holder may sublease the use of land and improvements covered under this permit and the operation of concessions and facilities authorized upon prior written notice to the authorized officer. The Forest Service reserves the right to disapprove subleasees. In any circumstance, only those facilities and activities authorized by this permit may be subleased. The holder shall continue to be responsible for compliance with all conditions of this permit by persons</w:t>
      </w:r>
    </w:p>
    <w:p>
      <w:pPr>
        <w:sectPr>
          <w:pgSz w:w="11900" w:h="16838" w:orient="portrait"/>
          <w:cols w:equalWidth="0" w:num="1">
            <w:col w:w="11340"/>
          </w:cols>
          <w:pgMar w:left="240" w:top="801" w:right="319" w:bottom="1440" w:gutter="0" w:footer="0" w:header="0"/>
        </w:sectPr>
      </w:pPr>
    </w:p>
    <w:bookmarkStart w:id="117" w:name="page118"/>
    <w:bookmarkEnd w:id="117"/>
    <w:p>
      <w:pPr>
        <w:ind w:right="680"/>
        <w:spacing w:after="0" w:line="271" w:lineRule="auto"/>
        <w:rPr>
          <w:sz w:val="20"/>
          <w:szCs w:val="20"/>
          <w:color w:val="auto"/>
        </w:rPr>
      </w:pPr>
      <w:r>
        <w:rPr>
          <w:rFonts w:ascii="Times New Roman" w:cs="Times New Roman" w:eastAsia="Times New Roman" w:hAnsi="Times New Roman"/>
          <w:sz w:val="22"/>
          <w:szCs w:val="22"/>
          <w:color w:val="auto"/>
        </w:rPr>
        <w:t>to whom such premises may be sublet. The holder may not sublease direct management responsibility without prior written approval by the authorized officer.</w:t>
      </w:r>
    </w:p>
    <w:p>
      <w:pPr>
        <w:spacing w:after="0" w:line="158" w:lineRule="exact"/>
        <w:rPr>
          <w:sz w:val="20"/>
          <w:szCs w:val="20"/>
          <w:color w:val="auto"/>
        </w:rPr>
      </w:pPr>
    </w:p>
    <w:p>
      <w:pPr>
        <w:ind w:right="260" w:firstLine="8"/>
        <w:spacing w:after="0" w:line="284" w:lineRule="auto"/>
        <w:tabs>
          <w:tab w:leader="none" w:pos="37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Notification of Sale</w:t>
      </w:r>
      <w:r>
        <w:rPr>
          <w:rFonts w:ascii="Times New Roman" w:cs="Times New Roman" w:eastAsia="Times New Roman" w:hAnsi="Times New Roman"/>
          <w:sz w:val="22"/>
          <w:szCs w:val="22"/>
          <w:color w:val="auto"/>
        </w:rPr>
        <w:t>. The holder shall immediately notify the authorized officer when a sale and transfer of ownership of the permitted improvements is planned.</w:t>
      </w:r>
    </w:p>
    <w:p>
      <w:pPr>
        <w:spacing w:after="0" w:line="144" w:lineRule="exact"/>
        <w:rPr>
          <w:rFonts w:ascii="Times New Roman" w:cs="Times New Roman" w:eastAsia="Times New Roman" w:hAnsi="Times New Roman"/>
          <w:sz w:val="22"/>
          <w:szCs w:val="22"/>
          <w:color w:val="auto"/>
        </w:rPr>
      </w:pPr>
    </w:p>
    <w:p>
      <w:pPr>
        <w:ind w:firstLine="8"/>
        <w:spacing w:after="0" w:line="253" w:lineRule="auto"/>
        <w:tabs>
          <w:tab w:leader="none" w:pos="37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Divestiture of Ownership</w:t>
      </w:r>
      <w:r>
        <w:rPr>
          <w:rFonts w:ascii="Times New Roman" w:cs="Times New Roman" w:eastAsia="Times New Roman" w:hAnsi="Times New Roman"/>
          <w:sz w:val="22"/>
          <w:szCs w:val="22"/>
          <w:color w:val="auto"/>
        </w:rPr>
        <w:t>. Upon change in ownership of the facilities authorized by this permit, the rights granted under this authorization may be transferred to the new owner upon application to and approval by the authorized officer. The new owner must qualify and agree to comply with, and be bound by the terms and conditions of the authorization. In granting approval, the authorized officer may modify the terms, conditions, and special stipulations to reflect any new requirements imposed by current Federal and state land use plans, laws, regulations or other management decisions.</w:t>
      </w:r>
    </w:p>
    <w:p>
      <w:pPr>
        <w:spacing w:after="0" w:line="17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VIII.</w:t>
      </w:r>
      <w:r>
        <w:rPr>
          <w:sz w:val="20"/>
          <w:szCs w:val="20"/>
          <w:color w:val="auto"/>
        </w:rPr>
        <w:tab/>
      </w:r>
      <w:r>
        <w:rPr>
          <w:rFonts w:ascii="Times New Roman" w:cs="Times New Roman" w:eastAsia="Times New Roman" w:hAnsi="Times New Roman"/>
          <w:sz w:val="21"/>
          <w:szCs w:val="21"/>
          <w:b w:val="1"/>
          <w:bCs w:val="1"/>
          <w:color w:val="auto"/>
        </w:rPr>
        <w:t>TERMINATION</w:t>
      </w:r>
    </w:p>
    <w:p>
      <w:pPr>
        <w:spacing w:after="0" w:line="237" w:lineRule="exact"/>
        <w:rPr>
          <w:sz w:val="20"/>
          <w:szCs w:val="20"/>
          <w:color w:val="auto"/>
        </w:rPr>
      </w:pPr>
    </w:p>
    <w:p>
      <w:pPr>
        <w:ind w:firstLine="8"/>
        <w:spacing w:after="0" w:line="246" w:lineRule="auto"/>
        <w:tabs>
          <w:tab w:leader="none" w:pos="39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Higher Public Purpose</w:t>
      </w:r>
      <w:r>
        <w:rPr>
          <w:rFonts w:ascii="Times New Roman" w:cs="Times New Roman" w:eastAsia="Times New Roman" w:hAnsi="Times New Roman"/>
          <w:sz w:val="22"/>
          <w:szCs w:val="22"/>
          <w:color w:val="auto"/>
        </w:rPr>
        <w:t>. If, during the term of this permit or any extension thereof, the Secretary of Agriculture or any official of the Forest Service acting by or under his or her authority shall determine by his or her planning for the uses of the National Forest that the public interest requires termination of this permit, this permit shall terminate upon one hundred-eighty (180) day’s written notice to the holder of such determination, and the United States shall have the right thereupon, subject to Congressional authorization and appropriation, to purchase the holder’s improvements, to remove them, or to require the holder to remove them, at the option of the United States. The United States shall be obligated to pay an equitable consideration for the improvements or for removal of the improvements and damages to the improvements resulting from their removal. The amount of the consideration shall be fixed by mutual agreement between the United States and the holder and shall be accepted by the holder in full satisfaction of all claims against the United States under this clause: Provided, that if mutual agreement is not reached, the Forest Service shall determine the amount, and if the holder is dissatisfied with the amount thus determined to be due him may appeal the determination in accordance with the Appeal Regulations, and the amount as determined on appeal shall be final and conclusive on the parties hereto; Provided further, that upon the payment to the holder of 75% of the amount fixed by the Forest Service, the right of the United States to remove or require the removal of the improvements shall not be stayed pending the final decision on appeal.</w:t>
      </w:r>
    </w:p>
    <w:p>
      <w:pPr>
        <w:spacing w:after="0" w:line="191" w:lineRule="exact"/>
        <w:rPr>
          <w:rFonts w:ascii="Times New Roman" w:cs="Times New Roman" w:eastAsia="Times New Roman" w:hAnsi="Times New Roman"/>
          <w:sz w:val="22"/>
          <w:szCs w:val="22"/>
          <w:color w:val="auto"/>
        </w:rPr>
      </w:pPr>
    </w:p>
    <w:p>
      <w:pPr>
        <w:ind w:right="60" w:firstLine="8"/>
        <w:spacing w:after="0" w:line="253" w:lineRule="auto"/>
        <w:tabs>
          <w:tab w:leader="none" w:pos="37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Revocation and Suspension</w:t>
      </w:r>
      <w:r>
        <w:rPr>
          <w:rFonts w:ascii="Times New Roman" w:cs="Times New Roman" w:eastAsia="Times New Roman" w:hAnsi="Times New Roman"/>
          <w:sz w:val="22"/>
          <w:szCs w:val="22"/>
          <w:color w:val="auto"/>
        </w:rPr>
        <w:t>. The authorized officer may suspend, revoke, or terminate this permit for (1) noncompliance with applicable statutes, regulations, or terms and conditions of the authorization; (2) for failure of the holder to exercise the rights and privileges granted; (3) with the consent of the holder; or (4) when, by its terms, a fixed agreed upon condition, event, or time occurs. Prior to suspension, revocation, or termination, the authorized officer shall give the holder written notice of the grounds for such action and reasonable time to correct curable noncompliance.</w:t>
      </w:r>
    </w:p>
    <w:p>
      <w:pPr>
        <w:spacing w:after="0" w:line="17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b w:val="1"/>
          <w:bCs w:val="1"/>
          <w:color w:val="auto"/>
        </w:rPr>
        <w:t>IX.</w:t>
      </w:r>
      <w:r>
        <w:rPr>
          <w:sz w:val="20"/>
          <w:szCs w:val="20"/>
          <w:color w:val="auto"/>
        </w:rPr>
        <w:tab/>
      </w:r>
      <w:r>
        <w:rPr>
          <w:rFonts w:ascii="Times New Roman" w:cs="Times New Roman" w:eastAsia="Times New Roman" w:hAnsi="Times New Roman"/>
          <w:sz w:val="21"/>
          <w:szCs w:val="21"/>
          <w:b w:val="1"/>
          <w:bCs w:val="1"/>
          <w:color w:val="auto"/>
        </w:rPr>
        <w:t>RENEWAL</w:t>
      </w:r>
    </w:p>
    <w:p>
      <w:pPr>
        <w:spacing w:after="0" w:line="237" w:lineRule="exact"/>
        <w:rPr>
          <w:sz w:val="20"/>
          <w:szCs w:val="20"/>
          <w:color w:val="auto"/>
        </w:rPr>
      </w:pPr>
    </w:p>
    <w:p>
      <w:pPr>
        <w:ind w:right="100" w:firstLine="8"/>
        <w:spacing w:after="0" w:line="282" w:lineRule="auto"/>
        <w:tabs>
          <w:tab w:leader="none" w:pos="390"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Renewal</w:t>
      </w:r>
      <w:r>
        <w:rPr>
          <w:rFonts w:ascii="Times New Roman" w:cs="Times New Roman" w:eastAsia="Times New Roman" w:hAnsi="Times New Roman"/>
          <w:sz w:val="21"/>
          <w:szCs w:val="21"/>
          <w:color w:val="auto"/>
        </w:rPr>
        <w:t>. The authorized use may be renewed. Renewal requires the following conditions: (1) the land use allocation is compatible with the Forest Land and Resource Management Plan; (2) the site is being used for the purposes previously authorized and; (3) the enterprise is being continually operated and maintained in accordance with all the provisions of the permit. In</w:t>
      </w:r>
    </w:p>
    <w:p>
      <w:pPr>
        <w:sectPr>
          <w:pgSz w:w="11900" w:h="16838" w:orient="portrait"/>
          <w:cols w:equalWidth="0" w:num="1">
            <w:col w:w="11360"/>
          </w:cols>
          <w:pgMar w:left="240" w:top="801" w:right="2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2"/>
          <w:szCs w:val="22"/>
          <w:color w:val="auto"/>
        </w:rPr>
        <w:t>making a renewal, the authorized officer may modify the terms, conditions, and special stipulations.</w:t>
      </w:r>
    </w:p>
    <w:p>
      <w:pPr>
        <w:spacing w:after="0" w:line="21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2"/>
          <w:szCs w:val="22"/>
          <w:b w:val="1"/>
          <w:bCs w:val="1"/>
          <w:color w:val="auto"/>
        </w:rPr>
        <w:t>X.</w:t>
      </w:r>
      <w:r>
        <w:rPr>
          <w:sz w:val="20"/>
          <w:szCs w:val="20"/>
          <w:color w:val="auto"/>
        </w:rPr>
        <w:tab/>
      </w:r>
      <w:r>
        <w:rPr>
          <w:rFonts w:ascii="Times New Roman" w:cs="Times New Roman" w:eastAsia="Times New Roman" w:hAnsi="Times New Roman"/>
          <w:sz w:val="21"/>
          <w:szCs w:val="21"/>
          <w:b w:val="1"/>
          <w:bCs w:val="1"/>
          <w:color w:val="auto"/>
        </w:rPr>
        <w:t>RIGHTS AND RESPONSIBILITIES UPON TERMINATION OR NONRENEWA</w:t>
      </w:r>
      <w:r>
        <w:rPr>
          <w:rFonts w:ascii="Times New Roman" w:cs="Times New Roman" w:eastAsia="Times New Roman" w:hAnsi="Times New Roman"/>
          <w:sz w:val="21"/>
          <w:szCs w:val="21"/>
          <w:color w:val="auto"/>
        </w:rPr>
        <w:t>L</w:t>
      </w:r>
    </w:p>
    <w:p>
      <w:pPr>
        <w:spacing w:after="0" w:line="237" w:lineRule="exact"/>
        <w:rPr>
          <w:sz w:val="20"/>
          <w:szCs w:val="20"/>
          <w:color w:val="auto"/>
        </w:rPr>
      </w:pPr>
    </w:p>
    <w:p>
      <w:pPr>
        <w:ind w:right="40" w:firstLine="8"/>
        <w:spacing w:after="0" w:line="251" w:lineRule="auto"/>
        <w:tabs>
          <w:tab w:leader="none" w:pos="39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Removal of Improvements</w:t>
      </w:r>
      <w:r>
        <w:rPr>
          <w:rFonts w:ascii="Times New Roman" w:cs="Times New Roman" w:eastAsia="Times New Roman" w:hAnsi="Times New Roman"/>
          <w:sz w:val="22"/>
          <w:szCs w:val="22"/>
          <w:color w:val="auto"/>
        </w:rPr>
        <w:t>. Except as provided in Clause VIII. A, upon termination or revocation of this special use permit by the Forest Service, the holder shall remove within a reasonable time as established by the authorized officer, the structures and improvements, and shall restore the site to a condition satisfactory to the authorized officer, unless otherwise waived in writing or in the authorization. If the holder fails to remove the structures or improvements within a reasonable period, as determined by the authorized officer, they shall become the property of the United States without compensation to the holder, but that shall not relieve the holder’s liability for the removal and site restoration costs.</w:t>
      </w:r>
    </w:p>
    <w:p>
      <w:pPr>
        <w:spacing w:after="0" w:line="17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b w:val="1"/>
          <w:bCs w:val="1"/>
          <w:color w:val="auto"/>
        </w:rPr>
        <w:t>XI.</w:t>
      </w:r>
      <w:r>
        <w:rPr>
          <w:sz w:val="20"/>
          <w:szCs w:val="20"/>
          <w:color w:val="auto"/>
        </w:rPr>
        <w:tab/>
      </w:r>
      <w:r>
        <w:rPr>
          <w:rFonts w:ascii="Times New Roman" w:cs="Times New Roman" w:eastAsia="Times New Roman" w:hAnsi="Times New Roman"/>
          <w:sz w:val="21"/>
          <w:szCs w:val="21"/>
          <w:b w:val="1"/>
          <w:bCs w:val="1"/>
          <w:color w:val="auto"/>
        </w:rPr>
        <w:t>MISCELLANEOUS PROVISIONS</w:t>
      </w:r>
    </w:p>
    <w:p>
      <w:pPr>
        <w:spacing w:after="0" w:line="237" w:lineRule="exact"/>
        <w:rPr>
          <w:sz w:val="20"/>
          <w:szCs w:val="20"/>
          <w:color w:val="auto"/>
        </w:rPr>
      </w:pPr>
    </w:p>
    <w:p>
      <w:pPr>
        <w:ind w:right="300" w:firstLine="8"/>
        <w:spacing w:after="0" w:line="284" w:lineRule="auto"/>
        <w:tabs>
          <w:tab w:leader="none" w:pos="39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Members of Congress</w:t>
      </w:r>
      <w:r>
        <w:rPr>
          <w:rFonts w:ascii="Times New Roman" w:cs="Times New Roman" w:eastAsia="Times New Roman" w:hAnsi="Times New Roman"/>
          <w:sz w:val="22"/>
          <w:szCs w:val="22"/>
          <w:color w:val="auto"/>
        </w:rPr>
        <w:t>. No Member of or Delegate to Congress, or Resident Commissioner shall be admitted to any share or part of this agreement or to any benefit that may arise herefrom unless it is made with a corporation for its general benefit.</w:t>
      </w:r>
    </w:p>
    <w:p>
      <w:pPr>
        <w:spacing w:after="0" w:line="144" w:lineRule="exact"/>
        <w:rPr>
          <w:rFonts w:ascii="Times New Roman" w:cs="Times New Roman" w:eastAsia="Times New Roman" w:hAnsi="Times New Roman"/>
          <w:sz w:val="22"/>
          <w:szCs w:val="22"/>
          <w:color w:val="auto"/>
        </w:rPr>
      </w:pPr>
    </w:p>
    <w:p>
      <w:pPr>
        <w:ind w:firstLine="8"/>
        <w:spacing w:after="0" w:line="263" w:lineRule="auto"/>
        <w:tabs>
          <w:tab w:leader="none" w:pos="37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Inspection, Forest Service</w:t>
      </w:r>
      <w:r>
        <w:rPr>
          <w:rFonts w:ascii="Times New Roman" w:cs="Times New Roman" w:eastAsia="Times New Roman" w:hAnsi="Times New Roman"/>
          <w:sz w:val="22"/>
          <w:szCs w:val="22"/>
          <w:color w:val="auto"/>
        </w:rPr>
        <w:t>. The Forest Service shall monitor the holder’s operations and reserves the right to inspect the permitted facilities and improvements at any time for compliance with the terms of this permit. Inspections by the Forest Service do not relieve the holder of responsibilities under other terms of this permit.</w:t>
      </w:r>
    </w:p>
    <w:p>
      <w:pPr>
        <w:spacing w:after="0" w:line="167" w:lineRule="exact"/>
        <w:rPr>
          <w:rFonts w:ascii="Times New Roman" w:cs="Times New Roman" w:eastAsia="Times New Roman" w:hAnsi="Times New Roman"/>
          <w:sz w:val="22"/>
          <w:szCs w:val="22"/>
          <w:color w:val="auto"/>
        </w:rPr>
      </w:pPr>
    </w:p>
    <w:p>
      <w:pPr>
        <w:ind w:right="20" w:firstLine="8"/>
        <w:spacing w:after="0" w:line="253" w:lineRule="auto"/>
        <w:tabs>
          <w:tab w:leader="none" w:pos="37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Regulating Services and Rates</w:t>
      </w:r>
      <w:r>
        <w:rPr>
          <w:rFonts w:ascii="Times New Roman" w:cs="Times New Roman" w:eastAsia="Times New Roman" w:hAnsi="Times New Roman"/>
          <w:sz w:val="22"/>
          <w:szCs w:val="22"/>
          <w:color w:val="auto"/>
        </w:rPr>
        <w:t>. The Forest Service shall have the authority to check and regulate the adequacy and type of services provided the public and to require that such services conform to satisfactory standards. The holder may be required to furnish a schedule of prices for sales and services authorized by the permit. Such prices and services may be regulated by the Forest Service: Provided, that the holder shall not be required to charge prices significantly different than those charged by comparable or competing enterprises.</w:t>
      </w:r>
    </w:p>
    <w:p>
      <w:pPr>
        <w:spacing w:after="0" w:line="179" w:lineRule="exact"/>
        <w:rPr>
          <w:rFonts w:ascii="Times New Roman" w:cs="Times New Roman" w:eastAsia="Times New Roman" w:hAnsi="Times New Roman"/>
          <w:sz w:val="22"/>
          <w:szCs w:val="22"/>
          <w:color w:val="auto"/>
        </w:rPr>
      </w:pPr>
    </w:p>
    <w:p>
      <w:pPr>
        <w:ind w:right="80" w:firstLine="8"/>
        <w:spacing w:after="0" w:line="257" w:lineRule="auto"/>
        <w:tabs>
          <w:tab w:leader="none" w:pos="39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Advertising</w:t>
      </w:r>
      <w:r>
        <w:rPr>
          <w:rFonts w:ascii="Times New Roman" w:cs="Times New Roman" w:eastAsia="Times New Roman" w:hAnsi="Times New Roman"/>
          <w:sz w:val="22"/>
          <w:szCs w:val="22"/>
          <w:color w:val="auto"/>
        </w:rPr>
        <w:t>. The holder, in advertisements, signs, circulars, brochures, letterheads, and like materials, as well as orally, shall not misrepresent in any way either the accommodations provided, the status of the permit, or the area covered by it or the vicinity. The fact that the permitted area is located on the National Forest shall be made readily apparent in all of the holder’s brochures and print advertising regarding use and management of the area and facilities under permit.</w:t>
      </w:r>
    </w:p>
    <w:p>
      <w:pPr>
        <w:spacing w:after="0" w:line="172" w:lineRule="exact"/>
        <w:rPr>
          <w:rFonts w:ascii="Times New Roman" w:cs="Times New Roman" w:eastAsia="Times New Roman" w:hAnsi="Times New Roman"/>
          <w:sz w:val="22"/>
          <w:szCs w:val="22"/>
          <w:color w:val="auto"/>
        </w:rPr>
      </w:pPr>
    </w:p>
    <w:p>
      <w:pPr>
        <w:ind w:right="1000" w:firstLine="8"/>
        <w:spacing w:after="0" w:line="284" w:lineRule="auto"/>
        <w:tabs>
          <w:tab w:leader="none" w:pos="36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Bonding</w:t>
      </w:r>
      <w:r>
        <w:rPr>
          <w:rFonts w:ascii="Times New Roman" w:cs="Times New Roman" w:eastAsia="Times New Roman" w:hAnsi="Times New Roman"/>
          <w:sz w:val="22"/>
          <w:szCs w:val="22"/>
          <w:color w:val="auto"/>
        </w:rPr>
        <w:t>. The authorized officer may require the holder to furnish a bond or other security to secure all or any of the obligations imposed by the terms of the authorization or any applicable law, regulation, or order.</w:t>
      </w:r>
    </w:p>
    <w:p>
      <w:pPr>
        <w:spacing w:after="0" w:line="144"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22"/>
          <w:szCs w:val="22"/>
          <w:u w:val="single" w:color="auto"/>
          <w:color w:val="auto"/>
        </w:rPr>
        <w:t>Bonds, Performance</w:t>
      </w:r>
      <w:r>
        <w:rPr>
          <w:rFonts w:ascii="Times New Roman" w:cs="Times New Roman" w:eastAsia="Times New Roman" w:hAnsi="Times New Roman"/>
          <w:sz w:val="22"/>
          <w:szCs w:val="22"/>
          <w:color w:val="auto"/>
        </w:rPr>
        <w:t>. Use the following text, when bonding is called for: As a further guarantee of the faithful performance of the provisions of terms and conditions N/A of this permit, the holder agrees to deliver and maintain a surety bond or other acceptable security in the amount of N/A. Should the sureties or the bonds delivered under this permit become unsatisfactory to the Forest Service, the holder shall, within thirty (30) days of demand, furnish a new bond with surety, solvent and satisfactory to the Forest Service. In lieu of a surety bond, the holder may deposit into a Federal depository, as directed by the Forest Service, and maintain therein, cash in the amounts</w:t>
      </w:r>
    </w:p>
    <w:p>
      <w:pPr>
        <w:sectPr>
          <w:pgSz w:w="11900" w:h="16838" w:orient="portrait"/>
          <w:cols w:equalWidth="0" w:num="1">
            <w:col w:w="11420"/>
          </w:cols>
          <w:pgMar w:left="240" w:top="801" w:right="239" w:bottom="1440" w:gutter="0" w:footer="0" w:header="0"/>
        </w:sectPr>
      </w:pPr>
    </w:p>
    <w:bookmarkStart w:id="119" w:name="page120"/>
    <w:bookmarkEnd w:id="119"/>
    <w:p>
      <w:pPr>
        <w:ind w:right="300"/>
        <w:spacing w:after="0" w:line="271" w:lineRule="auto"/>
        <w:rPr>
          <w:sz w:val="20"/>
          <w:szCs w:val="20"/>
          <w:color w:val="auto"/>
        </w:rPr>
      </w:pPr>
      <w:r>
        <w:rPr>
          <w:rFonts w:ascii="Times New Roman" w:cs="Times New Roman" w:eastAsia="Times New Roman" w:hAnsi="Times New Roman"/>
          <w:sz w:val="22"/>
          <w:szCs w:val="22"/>
          <w:color w:val="auto"/>
        </w:rPr>
        <w:t>provided for above, or negotiable securities of the United States having a market value at the time of deposit of not less than the dollar amounts provided above.</w:t>
      </w:r>
    </w:p>
    <w:p>
      <w:pPr>
        <w:spacing w:after="0" w:line="15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2"/>
          <w:szCs w:val="22"/>
          <w:color w:val="auto"/>
        </w:rPr>
        <w:t>The holder’s surety bond shall be released, or deposits in lieu of a bond, shall be returned thirty (30) days after certification by the Forest Service that priority installations under the development plan are complete, and upon furnishing by the holder of proof satisfactory to the Forest Service that all claims for labor and material on said installations have been paid or released and satisfied. The holder agrees that all moneys deposited under this permit may, upon failure on his or her part to fulfill all and singular the requirements herein set forth or made a part hereof, be retained by the United States to be applied to satisfy obligations assumed hereunder, without prejudice whatever to any rights and remedies of the United States.</w:t>
      </w:r>
    </w:p>
    <w:p>
      <w:pPr>
        <w:spacing w:after="0" w:line="18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2"/>
          <w:szCs w:val="22"/>
          <w:color w:val="auto"/>
        </w:rPr>
        <w:t>Prior to undertaking additional construction or alteration work not provided for in the above terms and conditions or when the improvements are to be removed and the area restored, the holder shall deliver and maintain a surety bond in an amount set by the Forest Service, which amount shall not be in excess of the estimated loss which the Government would suffer upon default in performance of this work.</w:t>
      </w:r>
    </w:p>
    <w:p>
      <w:pPr>
        <w:spacing w:after="0" w:line="180" w:lineRule="exact"/>
        <w:rPr>
          <w:sz w:val="20"/>
          <w:szCs w:val="20"/>
          <w:color w:val="auto"/>
        </w:rPr>
      </w:pPr>
    </w:p>
    <w:p>
      <w:pPr>
        <w:ind w:right="220" w:firstLine="8"/>
        <w:spacing w:after="0" w:line="284" w:lineRule="auto"/>
        <w:tabs>
          <w:tab w:leader="none" w:pos="337"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Water Rights</w:t>
      </w:r>
      <w:r>
        <w:rPr>
          <w:rFonts w:ascii="Times New Roman" w:cs="Times New Roman" w:eastAsia="Times New Roman" w:hAnsi="Times New Roman"/>
          <w:sz w:val="22"/>
          <w:szCs w:val="22"/>
          <w:color w:val="auto"/>
        </w:rPr>
        <w:t>. This authorization confers no rights to the use of water by the holder. Such rights must be acquired under State law.</w:t>
      </w:r>
    </w:p>
    <w:p>
      <w:pPr>
        <w:spacing w:after="0" w:line="144" w:lineRule="exact"/>
        <w:rPr>
          <w:rFonts w:ascii="Times New Roman" w:cs="Times New Roman" w:eastAsia="Times New Roman" w:hAnsi="Times New Roman"/>
          <w:sz w:val="22"/>
          <w:szCs w:val="22"/>
          <w:color w:val="auto"/>
        </w:rPr>
      </w:pPr>
    </w:p>
    <w:p>
      <w:pPr>
        <w:ind w:right="240" w:firstLine="8"/>
        <w:spacing w:after="0" w:line="284" w:lineRule="auto"/>
        <w:tabs>
          <w:tab w:leader="none" w:pos="39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Current Addresses</w:t>
      </w:r>
      <w:r>
        <w:rPr>
          <w:rFonts w:ascii="Times New Roman" w:cs="Times New Roman" w:eastAsia="Times New Roman" w:hAnsi="Times New Roman"/>
          <w:sz w:val="22"/>
          <w:szCs w:val="22"/>
          <w:color w:val="auto"/>
        </w:rPr>
        <w:t>. The holder and the Forest Service shall keep each informed of current mailing addresses including those necessary for billing and payment of fees.</w:t>
      </w:r>
    </w:p>
    <w:p>
      <w:pPr>
        <w:spacing w:after="0" w:line="144" w:lineRule="exact"/>
        <w:rPr>
          <w:rFonts w:ascii="Times New Roman" w:cs="Times New Roman" w:eastAsia="Times New Roman" w:hAnsi="Times New Roman"/>
          <w:sz w:val="22"/>
          <w:szCs w:val="22"/>
          <w:color w:val="auto"/>
        </w:rPr>
      </w:pPr>
    </w:p>
    <w:p>
      <w:pPr>
        <w:ind w:right="560" w:firstLine="8"/>
        <w:spacing w:after="0" w:line="284" w:lineRule="auto"/>
        <w:tabs>
          <w:tab w:leader="none" w:pos="39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Identification of Holder</w:t>
      </w:r>
      <w:r>
        <w:rPr>
          <w:rFonts w:ascii="Times New Roman" w:cs="Times New Roman" w:eastAsia="Times New Roman" w:hAnsi="Times New Roman"/>
          <w:sz w:val="22"/>
          <w:szCs w:val="22"/>
          <w:color w:val="auto"/>
        </w:rPr>
        <w:t>. Identification of the holder shall remain sufficient so that the Forest Service shall know the true identity of the entity.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Corporation Status Notification:</w:t>
      </w:r>
    </w:p>
    <w:p>
      <w:pPr>
        <w:spacing w:after="0" w:line="220" w:lineRule="exact"/>
        <w:rPr>
          <w:sz w:val="20"/>
          <w:szCs w:val="20"/>
          <w:color w:val="auto"/>
        </w:rPr>
      </w:pPr>
    </w:p>
    <w:p>
      <w:pPr>
        <w:ind w:left="1000" w:hanging="344"/>
        <w:spacing w:after="0"/>
        <w:tabs>
          <w:tab w:leader="none" w:pos="100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shall notify the authorized officer within fifteen (15) days of the following changes:</w:t>
      </w:r>
    </w:p>
    <w:p>
      <w:pPr>
        <w:spacing w:after="0" w:line="233" w:lineRule="exact"/>
        <w:rPr>
          <w:rFonts w:ascii="Times New Roman" w:cs="Times New Roman" w:eastAsia="Times New Roman" w:hAnsi="Times New Roman"/>
          <w:sz w:val="22"/>
          <w:szCs w:val="22"/>
          <w:color w:val="auto"/>
        </w:rPr>
      </w:pPr>
    </w:p>
    <w:p>
      <w:pPr>
        <w:ind w:left="1640" w:hanging="335"/>
        <w:spacing w:after="0"/>
        <w:tabs>
          <w:tab w:leader="none" w:pos="1640"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officers appointed or terminated.</w:t>
      </w:r>
    </w:p>
    <w:p>
      <w:pPr>
        <w:spacing w:after="0" w:line="233" w:lineRule="exact"/>
        <w:rPr>
          <w:rFonts w:ascii="Times New Roman" w:cs="Times New Roman" w:eastAsia="Times New Roman" w:hAnsi="Times New Roman"/>
          <w:sz w:val="22"/>
          <w:szCs w:val="22"/>
          <w:color w:val="auto"/>
        </w:rPr>
      </w:pPr>
    </w:p>
    <w:p>
      <w:pPr>
        <w:ind w:left="1300" w:right="140" w:firstLine="5"/>
        <w:spacing w:after="0" w:line="284" w:lineRule="auto"/>
        <w:tabs>
          <w:tab w:leader="none" w:pos="1642"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stockholders who acquire stock shares causing their ownership to exceed 50 percent of shares issued or otherwise acquired, resulting in gaining controlling interest in the corporation.</w:t>
      </w:r>
    </w:p>
    <w:p>
      <w:pPr>
        <w:spacing w:after="0" w:line="144" w:lineRule="exact"/>
        <w:rPr>
          <w:rFonts w:ascii="Times New Roman" w:cs="Times New Roman" w:eastAsia="Times New Roman" w:hAnsi="Times New Roman"/>
          <w:sz w:val="22"/>
          <w:szCs w:val="22"/>
          <w:color w:val="auto"/>
        </w:rPr>
      </w:pPr>
    </w:p>
    <w:p>
      <w:pPr>
        <w:ind w:left="1000" w:hanging="344"/>
        <w:spacing w:after="0"/>
        <w:tabs>
          <w:tab w:leader="none" w:pos="100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shall furnish the authorized officer:</w:t>
      </w:r>
    </w:p>
    <w:p>
      <w:pPr>
        <w:spacing w:after="0" w:line="200" w:lineRule="exact"/>
        <w:rPr>
          <w:rFonts w:ascii="Times New Roman" w:cs="Times New Roman" w:eastAsia="Times New Roman" w:hAnsi="Times New Roman"/>
          <w:sz w:val="22"/>
          <w:szCs w:val="22"/>
          <w:color w:val="auto"/>
        </w:rPr>
      </w:pPr>
    </w:p>
    <w:p>
      <w:pPr>
        <w:spacing w:after="0" w:line="289" w:lineRule="exact"/>
        <w:rPr>
          <w:rFonts w:ascii="Times New Roman" w:cs="Times New Roman" w:eastAsia="Times New Roman" w:hAnsi="Times New Roman"/>
          <w:sz w:val="22"/>
          <w:szCs w:val="22"/>
          <w:color w:val="auto"/>
        </w:rPr>
      </w:pPr>
    </w:p>
    <w:p>
      <w:pPr>
        <w:ind w:left="1640" w:hanging="335"/>
        <w:spacing w:after="0"/>
        <w:tabs>
          <w:tab w:leader="none" w:pos="1640"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articles of incorporation and bylaws.</w:t>
      </w:r>
    </w:p>
    <w:p>
      <w:pPr>
        <w:spacing w:after="0" w:line="29" w:lineRule="exact"/>
        <w:rPr>
          <w:rFonts w:ascii="Times New Roman" w:cs="Times New Roman" w:eastAsia="Times New Roman" w:hAnsi="Times New Roman"/>
          <w:sz w:val="22"/>
          <w:szCs w:val="22"/>
          <w:color w:val="auto"/>
        </w:rPr>
      </w:pPr>
    </w:p>
    <w:p>
      <w:pPr>
        <w:ind w:right="260" w:firstLine="1305"/>
        <w:spacing w:after="0" w:line="248" w:lineRule="auto"/>
        <w:tabs>
          <w:tab w:leader="none" w:pos="1663"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authenticated copy of a resolution of the board of directors specifically authorizing a certain individual or individuals to represent the holder in dealing with the Forest Service.</w:t>
      </w:r>
    </w:p>
    <w:p>
      <w:pPr>
        <w:spacing w:after="0" w:line="1" w:lineRule="exact"/>
        <w:rPr>
          <w:rFonts w:ascii="Times New Roman" w:cs="Times New Roman" w:eastAsia="Times New Roman" w:hAnsi="Times New Roman"/>
          <w:sz w:val="22"/>
          <w:szCs w:val="22"/>
          <w:color w:val="auto"/>
        </w:rPr>
      </w:pPr>
    </w:p>
    <w:p>
      <w:pPr>
        <w:ind w:left="1640" w:hanging="335"/>
        <w:spacing w:after="0"/>
        <w:tabs>
          <w:tab w:leader="none" w:pos="1640"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list of officers and directors of the corporation and their addresses.</w:t>
      </w:r>
    </w:p>
    <w:p>
      <w:pPr>
        <w:spacing w:after="0" w:line="5" w:lineRule="exact"/>
        <w:rPr>
          <w:rFonts w:ascii="Times New Roman" w:cs="Times New Roman" w:eastAsia="Times New Roman" w:hAnsi="Times New Roman"/>
          <w:sz w:val="22"/>
          <w:szCs w:val="22"/>
          <w:color w:val="auto"/>
        </w:rPr>
      </w:pPr>
    </w:p>
    <w:p>
      <w:pPr>
        <w:ind w:left="1640" w:hanging="335"/>
        <w:spacing w:after="0"/>
        <w:tabs>
          <w:tab w:leader="none" w:pos="1640"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request, a certified list of stockholders and amount of stock owned by each.</w:t>
      </w:r>
    </w:p>
    <w:p>
      <w:pPr>
        <w:spacing w:after="0" w:line="17" w:lineRule="exact"/>
        <w:rPr>
          <w:rFonts w:ascii="Times New Roman" w:cs="Times New Roman" w:eastAsia="Times New Roman" w:hAnsi="Times New Roman"/>
          <w:sz w:val="22"/>
          <w:szCs w:val="22"/>
          <w:color w:val="auto"/>
        </w:rPr>
      </w:pPr>
    </w:p>
    <w:p>
      <w:pPr>
        <w:ind w:left="1660" w:hanging="355"/>
        <w:spacing w:after="0"/>
        <w:tabs>
          <w:tab w:leader="none" w:pos="1660"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authorized officer may require the holder to furnish additional information as set forth in 36 CFR 251.54(e)</w:t>
      </w:r>
    </w:p>
    <w:p>
      <w:pPr>
        <w:spacing w:after="0" w:line="26"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(1)(iv).</w:t>
      </w:r>
    </w:p>
    <w:p>
      <w:pPr>
        <w:sectPr>
          <w:pgSz w:w="11900" w:h="16838" w:orient="portrait"/>
          <w:cols w:equalWidth="0" w:num="1">
            <w:col w:w="11360"/>
          </w:cols>
          <w:pgMar w:left="240" w:top="801" w:right="2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2"/>
          <w:szCs w:val="22"/>
          <w:color w:val="auto"/>
        </w:rPr>
        <w:t>Partnership Status Notification:</w:t>
      </w:r>
    </w:p>
    <w:p>
      <w:pPr>
        <w:spacing w:after="0" w:line="220"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22"/>
          <w:szCs w:val="22"/>
          <w:color w:val="auto"/>
        </w:rPr>
        <w:t>The holder shall notify the authorized officer within fifteen (15) days of the following changes. Names of the individuals involved shall be included with the notification.</w:t>
      </w:r>
    </w:p>
    <w:p>
      <w:pPr>
        <w:spacing w:after="0" w:line="158" w:lineRule="exact"/>
        <w:rPr>
          <w:sz w:val="20"/>
          <w:szCs w:val="20"/>
          <w:color w:val="auto"/>
        </w:rPr>
      </w:pPr>
    </w:p>
    <w:p>
      <w:pPr>
        <w:ind w:left="360" w:hanging="352"/>
        <w:spacing w:after="0"/>
        <w:tabs>
          <w:tab w:leader="none" w:pos="3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Partnership makeup changes due to death, withdrawal, or addition of a partner.</w:t>
      </w:r>
    </w:p>
    <w:p>
      <w:pPr>
        <w:spacing w:after="0" w:line="233"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Party or parties assigned financed interest in the partnership by existing partner(s).</w:t>
      </w:r>
    </w:p>
    <w:p>
      <w:pPr>
        <w:spacing w:after="0" w:line="233"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reformation, or revision of the partnership agreement.</w:t>
      </w:r>
    </w:p>
    <w:p>
      <w:pPr>
        <w:spacing w:after="0" w:line="233" w:lineRule="exact"/>
        <w:rPr>
          <w:rFonts w:ascii="Times New Roman" w:cs="Times New Roman" w:eastAsia="Times New Roman" w:hAnsi="Times New Roman"/>
          <w:sz w:val="22"/>
          <w:szCs w:val="22"/>
          <w:color w:val="auto"/>
        </w:rPr>
      </w:pPr>
    </w:p>
    <w:p>
      <w:pPr>
        <w:ind w:left="660" w:right="740" w:hanging="652"/>
        <w:spacing w:after="0" w:line="271" w:lineRule="auto"/>
        <w:tabs>
          <w:tab w:leader="none" w:pos="6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of partnership interest, either through purchase of an interest from an existing partner or partners, or contribution of assets, that exceeds 50 percent of the partnership permanent investment.</w:t>
      </w:r>
    </w:p>
    <w:p>
      <w:pPr>
        <w:spacing w:after="0" w:line="158" w:lineRule="exact"/>
        <w:rPr>
          <w:sz w:val="20"/>
          <w:szCs w:val="20"/>
          <w:color w:val="auto"/>
        </w:rPr>
      </w:pPr>
    </w:p>
    <w:p>
      <w:pPr>
        <w:ind w:firstLine="8"/>
        <w:spacing w:after="0" w:line="253" w:lineRule="auto"/>
        <w:tabs>
          <w:tab w:leader="none" w:pos="306"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Archaeological-Paleontological Discoveries</w:t>
      </w:r>
      <w:r>
        <w:rPr>
          <w:rFonts w:ascii="Times New Roman" w:cs="Times New Roman" w:eastAsia="Times New Roman" w:hAnsi="Times New Roman"/>
          <w:sz w:val="22"/>
          <w:szCs w:val="22"/>
          <w:color w:val="auto"/>
        </w:rPr>
        <w:t>. The holder shall immediately notify the authorized officer of any and all antiquities or other objects of historic or scientific interest. These include, but are not limited to, historic or prehistoric ruins, fossils, or artifacts discovered as the result of operations under this permit, and shall leave such discoveries intact until authorized to proceed by the authorized officer. Protective and mitigation measures specified by the authorized officer shall be the responsibility of the permit holder.</w:t>
      </w:r>
    </w:p>
    <w:p>
      <w:pPr>
        <w:spacing w:after="0" w:line="179" w:lineRule="exact"/>
        <w:rPr>
          <w:rFonts w:ascii="Times New Roman" w:cs="Times New Roman" w:eastAsia="Times New Roman" w:hAnsi="Times New Roman"/>
          <w:sz w:val="22"/>
          <w:szCs w:val="22"/>
          <w:color w:val="auto"/>
        </w:rPr>
      </w:pPr>
    </w:p>
    <w:p>
      <w:pPr>
        <w:ind w:firstLine="8"/>
        <w:spacing w:after="0" w:line="253" w:lineRule="auto"/>
        <w:tabs>
          <w:tab w:leader="none" w:pos="318"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Protection of Habitat of Endangered, Threatened, and Sensitive Species</w:t>
      </w:r>
      <w:r>
        <w:rPr>
          <w:rFonts w:ascii="Times New Roman" w:cs="Times New Roman" w:eastAsia="Times New Roman" w:hAnsi="Times New Roman"/>
          <w:sz w:val="22"/>
          <w:szCs w:val="22"/>
          <w:color w:val="auto"/>
        </w:rPr>
        <w:t>. Location of areas needing special measures for protection of plants or animals listed as threatened or endangered under the Endangered Species Act (ESA) of 1973, as amended, or listed as sensitive by the Regional Forester under authority of FSM 2670, derived from ESA Section 7 consultation, may be shown on a separate map, hereby made a part of this permit, or identified on the ground. Protective and mitigation measures specified by the authorized officer shall be the responsibility of the permit holder.</w:t>
      </w:r>
    </w:p>
    <w:p>
      <w:pPr>
        <w:spacing w:after="0" w:line="179" w:lineRule="exact"/>
        <w:rPr>
          <w:sz w:val="20"/>
          <w:szCs w:val="20"/>
          <w:color w:val="auto"/>
        </w:rPr>
      </w:pPr>
    </w:p>
    <w:p>
      <w:pPr>
        <w:jc w:val="both"/>
        <w:ind w:right="260"/>
        <w:spacing w:after="0" w:line="257" w:lineRule="auto"/>
        <w:rPr>
          <w:sz w:val="20"/>
          <w:szCs w:val="20"/>
          <w:color w:val="auto"/>
        </w:rPr>
      </w:pPr>
      <w:r>
        <w:rPr>
          <w:rFonts w:ascii="Times New Roman" w:cs="Times New Roman" w:eastAsia="Times New Roman" w:hAnsi="Times New Roman"/>
          <w:sz w:val="22"/>
          <w:szCs w:val="22"/>
          <w:color w:val="auto"/>
        </w:rPr>
        <w:t>If protection measures prove inadequate, if other such areas are discovered, or if new species are listed as Federally threatened or endangered or as sensitive by the Regional Forester, the authorized officer may specify additional protection regardless of when such facts become known Discovery of such areas by either party shall be promptly reported to the other party.</w:t>
      </w:r>
    </w:p>
    <w:p>
      <w:pPr>
        <w:spacing w:after="0" w:line="173" w:lineRule="exact"/>
        <w:rPr>
          <w:sz w:val="20"/>
          <w:szCs w:val="20"/>
          <w:color w:val="auto"/>
        </w:rPr>
      </w:pPr>
    </w:p>
    <w:p>
      <w:pPr>
        <w:ind w:right="20" w:firstLine="8"/>
        <w:spacing w:after="0" w:line="284" w:lineRule="auto"/>
        <w:tabs>
          <w:tab w:leader="none" w:pos="39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Superior Clauses</w:t>
      </w:r>
      <w:r>
        <w:rPr>
          <w:rFonts w:ascii="Times New Roman" w:cs="Times New Roman" w:eastAsia="Times New Roman" w:hAnsi="Times New Roman"/>
          <w:sz w:val="22"/>
          <w:szCs w:val="22"/>
          <w:color w:val="auto"/>
        </w:rPr>
        <w:t>. In the event of any conflict between any of the preceding printed clauses or any provision thereof, and any of the following clauses or any provision thereof, the preceding clauses shall control.</w:t>
      </w:r>
    </w:p>
    <w:p>
      <w:pPr>
        <w:spacing w:after="0" w:line="144" w:lineRule="exact"/>
        <w:rPr>
          <w:rFonts w:ascii="Times New Roman" w:cs="Times New Roman" w:eastAsia="Times New Roman" w:hAnsi="Times New Roman"/>
          <w:sz w:val="22"/>
          <w:szCs w:val="22"/>
          <w:color w:val="auto"/>
        </w:rPr>
      </w:pPr>
    </w:p>
    <w:p>
      <w:pPr>
        <w:ind w:right="100" w:firstLine="8"/>
        <w:spacing w:after="0" w:line="284" w:lineRule="auto"/>
        <w:tabs>
          <w:tab w:leader="none" w:pos="366"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Superseded Permit</w:t>
      </w:r>
      <w:r>
        <w:rPr>
          <w:rFonts w:ascii="Times New Roman" w:cs="Times New Roman" w:eastAsia="Times New Roman" w:hAnsi="Times New Roman"/>
          <w:sz w:val="22"/>
          <w:szCs w:val="22"/>
          <w:color w:val="auto"/>
        </w:rPr>
        <w:t>. This permit replaces a special use permit issued to Heavenly Valley, Limited Partnership on November 12, 1997...</w:t>
      </w:r>
    </w:p>
    <w:p>
      <w:pPr>
        <w:spacing w:after="0" w:line="144" w:lineRule="exact"/>
        <w:rPr>
          <w:rFonts w:ascii="Times New Roman" w:cs="Times New Roman" w:eastAsia="Times New Roman" w:hAnsi="Times New Roman"/>
          <w:sz w:val="22"/>
          <w:szCs w:val="22"/>
          <w:color w:val="auto"/>
        </w:rPr>
      </w:pPr>
    </w:p>
    <w:p>
      <w:pPr>
        <w:ind w:right="140" w:firstLine="8"/>
        <w:spacing w:after="0" w:line="263" w:lineRule="auto"/>
        <w:tabs>
          <w:tab w:leader="none" w:pos="426"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Disputes</w:t>
      </w:r>
      <w:r>
        <w:rPr>
          <w:rFonts w:ascii="Times New Roman" w:cs="Times New Roman" w:eastAsia="Times New Roman" w:hAnsi="Times New Roman"/>
          <w:sz w:val="22"/>
          <w:szCs w:val="22"/>
          <w:color w:val="auto"/>
        </w:rPr>
        <w:t>. Appeal of any provisions of this authorization or any requirements thereof shall be subject to the appeal regulations at 36 CFR 251, Subpart C, or revisions thereto. The procedures for these appeals are set forth in 36 CFR 251 published in the Federal Register at 54 FR 3362, January 23, 1989.</w:t>
      </w:r>
    </w:p>
    <w:p>
      <w:pPr>
        <w:spacing w:after="0" w:line="168" w:lineRule="exact"/>
        <w:rPr>
          <w:sz w:val="20"/>
          <w:szCs w:val="20"/>
          <w:color w:val="auto"/>
        </w:rPr>
      </w:pPr>
    </w:p>
    <w:p>
      <w:pPr>
        <w:ind w:right="100" w:firstLine="8"/>
        <w:spacing w:after="0" w:line="284" w:lineRule="auto"/>
        <w:tabs>
          <w:tab w:leader="none" w:pos="39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Water Rights acquired in the Name of the United States</w:t>
      </w:r>
      <w:r>
        <w:rPr>
          <w:rFonts w:ascii="Times New Roman" w:cs="Times New Roman" w:eastAsia="Times New Roman" w:hAnsi="Times New Roman"/>
          <w:sz w:val="22"/>
          <w:szCs w:val="22"/>
          <w:color w:val="auto"/>
        </w:rPr>
        <w:t>. All water rights obtained by the holder from water diversions directly from National Forest System lands for use on the area authorized must be acquired in the name of the United States.</w:t>
      </w:r>
    </w:p>
    <w:p>
      <w:pPr>
        <w:sectPr>
          <w:pgSz w:w="11900" w:h="16838" w:orient="portrait"/>
          <w:cols w:equalWidth="0" w:num="1">
            <w:col w:w="11420"/>
          </w:cols>
          <w:pgMar w:left="240" w:top="801" w:right="239" w:bottom="1440" w:gutter="0" w:footer="0" w:header="0"/>
        </w:sectPr>
      </w:pPr>
    </w:p>
    <w:bookmarkStart w:id="121" w:name="page122"/>
    <w:bookmarkEnd w:id="121"/>
    <w:p>
      <w:pPr>
        <w:ind w:left="-8" w:right="480" w:firstLine="8"/>
        <w:spacing w:after="0" w:line="284" w:lineRule="auto"/>
        <w:tabs>
          <w:tab w:leader="none" w:pos="322"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Liquor Sales Authorized</w:t>
      </w:r>
      <w:r>
        <w:rPr>
          <w:rFonts w:ascii="Times New Roman" w:cs="Times New Roman" w:eastAsia="Times New Roman" w:hAnsi="Times New Roman"/>
          <w:sz w:val="22"/>
          <w:szCs w:val="22"/>
          <w:color w:val="auto"/>
        </w:rPr>
        <w:t>. The sale of intoxicating beverages is allowed by this authorization, contingent upon a valid State license for the sale or serving of alcoholic beverages.</w:t>
      </w:r>
    </w:p>
    <w:p>
      <w:pPr>
        <w:spacing w:after="0" w:line="144" w:lineRule="exact"/>
        <w:rPr>
          <w:rFonts w:ascii="Times New Roman" w:cs="Times New Roman" w:eastAsia="Times New Roman" w:hAnsi="Times New Roman"/>
          <w:sz w:val="22"/>
          <w:szCs w:val="22"/>
          <w:color w:val="auto"/>
        </w:rPr>
      </w:pPr>
    </w:p>
    <w:p>
      <w:pPr>
        <w:ind w:left="-8" w:right="260" w:firstLine="8"/>
        <w:spacing w:after="0" w:line="265" w:lineRule="auto"/>
        <w:tabs>
          <w:tab w:leader="none" w:pos="382"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Revegetation of Ground Cover and Surface Restoration</w:t>
      </w:r>
      <w:r>
        <w:rPr>
          <w:rFonts w:ascii="Times New Roman" w:cs="Times New Roman" w:eastAsia="Times New Roman" w:hAnsi="Times New Roman"/>
          <w:sz w:val="21"/>
          <w:szCs w:val="21"/>
          <w:color w:val="auto"/>
        </w:rPr>
        <w:t>. The holder shall be responsible for prevention and control of soil erosion and gullying on lands covered by this authorization and adjacent thereto, resulting from construction, operation, maintenance, and termination of the authorized use. The holder shall so construct permitted improvements to avoid the accumulation of excessive heads of water and to avoid encroachment on streams. The holder shall vegetate or otherwise stabilize all ground where the soil has been exposed as a result of the holder’s construction, maintenance, operation, or termination of the authorized use and shall construct and maintain necessary preventive measures to supplement the vegetation.</w:t>
      </w:r>
    </w:p>
    <w:p>
      <w:pPr>
        <w:spacing w:after="0" w:line="169" w:lineRule="exact"/>
        <w:rPr>
          <w:rFonts w:ascii="Times New Roman" w:cs="Times New Roman" w:eastAsia="Times New Roman" w:hAnsi="Times New Roman"/>
          <w:sz w:val="21"/>
          <w:szCs w:val="21"/>
          <w:color w:val="auto"/>
        </w:rPr>
      </w:pPr>
    </w:p>
    <w:p>
      <w:pPr>
        <w:ind w:left="372" w:hanging="372"/>
        <w:spacing w:after="0"/>
        <w:tabs>
          <w:tab w:leader="none" w:pos="372"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Drinking Water Systems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8" w:firstLine="8"/>
        <w:spacing w:after="0" w:line="250" w:lineRule="auto"/>
        <w:tabs>
          <w:tab w:leader="none" w:pos="334"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as the water supplier and owner or operator of the drinking water system, is responsible for compliance with all applicable Federal, State, and local drinking water laws and regulations for the operation and maintenance of a public water system. This includes, but is not limited to, developing, operating, and maintaining the system, and conducting drinking water testing and taking the appropriate corrective and follow-up actions in accordance with Federal, State, and any other applicable requirements. For the purposes of this authorization, public water systems are defined in the Safe Drinking Water Act, as amended (42 U.S.C. 300f et seq.), and in the National Primary Drinking Water Regulations, Title 40, Code of Federal Regulations, part 141 (40 CFR part 141), or by State regulations if more stringent.</w:t>
      </w:r>
    </w:p>
    <w:p>
      <w:pPr>
        <w:spacing w:after="0" w:line="181" w:lineRule="exact"/>
        <w:rPr>
          <w:rFonts w:ascii="Times New Roman" w:cs="Times New Roman" w:eastAsia="Times New Roman" w:hAnsi="Times New Roman"/>
          <w:sz w:val="22"/>
          <w:szCs w:val="22"/>
          <w:color w:val="auto"/>
        </w:rPr>
      </w:pPr>
    </w:p>
    <w:p>
      <w:pPr>
        <w:ind w:left="-8" w:right="20" w:firstLine="8"/>
        <w:spacing w:after="0" w:line="257" w:lineRule="auto"/>
        <w:tabs>
          <w:tab w:leader="none" w:pos="334"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the permit holder operates Federally owned systems (for example, when the permit is authorized under the Granger-Thye Act), the holder shall meet additional requirements for public and nonpublic water systems consistent with FSM 7420. Requirements under FSM 7420 applicable to the permit holder are set forth in an appendix to the permit entitled “Operation of Federally Owned Drinking Water Systems” (Form FS-2700-4h-Appendix F).</w:t>
      </w:r>
    </w:p>
    <w:p>
      <w:pPr>
        <w:spacing w:after="0" w:line="172" w:lineRule="exact"/>
        <w:rPr>
          <w:rFonts w:ascii="Times New Roman" w:cs="Times New Roman" w:eastAsia="Times New Roman" w:hAnsi="Times New Roman"/>
          <w:sz w:val="22"/>
          <w:szCs w:val="22"/>
          <w:color w:val="auto"/>
        </w:rPr>
      </w:pPr>
    </w:p>
    <w:p>
      <w:pPr>
        <w:ind w:left="-8" w:right="140" w:firstLine="8"/>
        <w:spacing w:after="0" w:line="257" w:lineRule="auto"/>
        <w:tabs>
          <w:tab w:leader="none" w:pos="334"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Federally owned systems, the holder shall notify and consult with the Forest Service within 24 hours or on the next business day after notification by the laboratory of a sample that tests positive for microbiological contamination. The holder shall notify and consult with the Forest Service within 48 hours of notification of a maximum contaminant level violation or an acute violation.</w:t>
      </w:r>
    </w:p>
    <w:p>
      <w:pPr>
        <w:spacing w:after="0" w:line="172" w:lineRule="exact"/>
        <w:rPr>
          <w:rFonts w:ascii="Times New Roman" w:cs="Times New Roman" w:eastAsia="Times New Roman" w:hAnsi="Times New Roman"/>
          <w:sz w:val="22"/>
          <w:szCs w:val="22"/>
          <w:color w:val="auto"/>
        </w:rPr>
      </w:pPr>
    </w:p>
    <w:p>
      <w:pPr>
        <w:ind w:left="-8" w:right="140" w:firstLine="8"/>
        <w:spacing w:after="0" w:line="250" w:lineRule="auto"/>
        <w:tabs>
          <w:tab w:leader="none" w:pos="334"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shall retain all records as required by applicable laws and regulations. The holder agrees to make the records available to the Forest Service and to any other regulatory agency authorized to review Forest Service activities. Copies of microbiological test results for Federally owned water systems shall be forwarded monthly to the Forest Service by the 15th of the month following the sampling date. Copies of other required records for Federally owned systems shall be forwarded annually to the Forest Service within 15 days of the end of the operating season for seasonal sites or within 15 days of the end of the calendar year for year-round operations. The holder shall surrender all records for a Federally owned system to the Forest Service upon permit termination or revocation.</w:t>
      </w:r>
    </w:p>
    <w:p>
      <w:pPr>
        <w:spacing w:after="0" w:line="181" w:lineRule="exact"/>
        <w:rPr>
          <w:rFonts w:ascii="Times New Roman" w:cs="Times New Roman" w:eastAsia="Times New Roman" w:hAnsi="Times New Roman"/>
          <w:sz w:val="22"/>
          <w:szCs w:val="22"/>
          <w:color w:val="auto"/>
        </w:rPr>
      </w:pPr>
    </w:p>
    <w:p>
      <w:pPr>
        <w:ind w:left="-8" w:right="280" w:firstLine="8"/>
        <w:spacing w:after="0" w:line="284" w:lineRule="auto"/>
        <w:tabs>
          <w:tab w:leader="none" w:pos="334"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Federally owned systems, the holder shall provide the name of the water system operator in writing to the Forest Service and notify the authorized officer within 72 hours of a change in personnel.</w:t>
      </w:r>
    </w:p>
    <w:p>
      <w:pPr>
        <w:sectPr>
          <w:pgSz w:w="11900" w:h="16838" w:orient="portrait"/>
          <w:cols w:equalWidth="0" w:num="1">
            <w:col w:w="11412"/>
          </w:cols>
          <w:pgMar w:left="248" w:top="801" w:right="239" w:bottom="1440" w:gutter="0" w:footer="0" w:header="0"/>
        </w:sectPr>
      </w:pPr>
    </w:p>
    <w:bookmarkStart w:id="122" w:name="page123"/>
    <w:bookmarkEnd w:id="122"/>
    <w:p>
      <w:pPr>
        <w:ind w:left="360" w:hanging="352"/>
        <w:spacing w:after="0"/>
        <w:tabs>
          <w:tab w:leader="none" w:pos="3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Dam Safety</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000" w:hanging="344"/>
        <w:spacing w:after="0"/>
        <w:tabs>
          <w:tab w:leader="none" w:pos="100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Definitions. The following definitions apply to this clause:</w:t>
      </w:r>
    </w:p>
    <w:p>
      <w:pPr>
        <w:spacing w:after="0" w:line="233" w:lineRule="exact"/>
        <w:rPr>
          <w:rFonts w:ascii="Times New Roman" w:cs="Times New Roman" w:eastAsia="Times New Roman" w:hAnsi="Times New Roman"/>
          <w:sz w:val="22"/>
          <w:szCs w:val="22"/>
          <w:color w:val="auto"/>
        </w:rPr>
      </w:pPr>
    </w:p>
    <w:p>
      <w:pPr>
        <w:ind w:left="1300" w:right="100" w:firstLine="5"/>
        <w:spacing w:after="0" w:line="263" w:lineRule="auto"/>
        <w:tabs>
          <w:tab w:leader="none" w:pos="1630" w:val="left"/>
        </w:tabs>
        <w:numPr>
          <w:ilvl w:val="2"/>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Qualified Engineer. An engineer authorized to practice engineering in the field of dams in the State where the dam is located, either by professional registration as provided by State law or by reason of employment by the State or Federal Government.</w:t>
      </w:r>
    </w:p>
    <w:p>
      <w:pPr>
        <w:spacing w:after="0" w:line="167" w:lineRule="exact"/>
        <w:rPr>
          <w:rFonts w:ascii="Times New Roman" w:cs="Times New Roman" w:eastAsia="Times New Roman" w:hAnsi="Times New Roman"/>
          <w:sz w:val="22"/>
          <w:szCs w:val="22"/>
          <w:color w:val="auto"/>
        </w:rPr>
      </w:pPr>
    </w:p>
    <w:p>
      <w:pPr>
        <w:ind w:left="1300" w:right="120" w:firstLine="5"/>
        <w:spacing w:after="0" w:line="257" w:lineRule="auto"/>
        <w:tabs>
          <w:tab w:leader="none" w:pos="1642" w:val="left"/>
        </w:tabs>
        <w:numPr>
          <w:ilvl w:val="2"/>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Dam Failure. Catastrophic event characterized by the sudden, rapid, and uncontrolled release of impounded water. It Is recognized that there are lesser degrees of failure and that any malfunction or abnormality outside the design assumptions and parameters which adversely affect a dam’s primary function of impounding water may also be considered a failure.</w:t>
      </w:r>
    </w:p>
    <w:p>
      <w:pPr>
        <w:spacing w:after="0" w:line="172" w:lineRule="exact"/>
        <w:rPr>
          <w:rFonts w:ascii="Times New Roman" w:cs="Times New Roman" w:eastAsia="Times New Roman" w:hAnsi="Times New Roman"/>
          <w:sz w:val="22"/>
          <w:szCs w:val="22"/>
          <w:color w:val="auto"/>
        </w:rPr>
      </w:pPr>
    </w:p>
    <w:p>
      <w:pPr>
        <w:jc w:val="both"/>
        <w:ind w:left="1300" w:right="80" w:firstLine="5"/>
        <w:spacing w:after="0" w:line="263" w:lineRule="auto"/>
        <w:tabs>
          <w:tab w:leader="none" w:pos="1630" w:val="left"/>
        </w:tabs>
        <w:numPr>
          <w:ilvl w:val="2"/>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Rehabilitation or Modification. Repair of major structure deterioration to restore original condition; alteration of structures to meet current design criteria, improve dam stability, enlarge reservoir capacity, or increase spillway and outlet works capacity; replacement of equipment.</w:t>
      </w:r>
    </w:p>
    <w:p>
      <w:pPr>
        <w:spacing w:after="0" w:line="167" w:lineRule="exact"/>
        <w:rPr>
          <w:rFonts w:ascii="Times New Roman" w:cs="Times New Roman" w:eastAsia="Times New Roman" w:hAnsi="Times New Roman"/>
          <w:sz w:val="22"/>
          <w:szCs w:val="22"/>
          <w:color w:val="auto"/>
        </w:rPr>
      </w:pPr>
    </w:p>
    <w:p>
      <w:pPr>
        <w:ind w:left="1300" w:firstLine="5"/>
        <w:spacing w:after="0" w:line="284" w:lineRule="auto"/>
        <w:tabs>
          <w:tab w:leader="none" w:pos="1642" w:val="left"/>
        </w:tabs>
        <w:numPr>
          <w:ilvl w:val="2"/>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Hazard Potential. The classification of a dam based on the potential for loss of life or property damage that could occur if the structure failed (FSM 7500).</w:t>
      </w:r>
    </w:p>
    <w:p>
      <w:pPr>
        <w:spacing w:after="0" w:line="144" w:lineRule="exact"/>
        <w:rPr>
          <w:rFonts w:ascii="Times New Roman" w:cs="Times New Roman" w:eastAsia="Times New Roman" w:hAnsi="Times New Roman"/>
          <w:sz w:val="22"/>
          <w:szCs w:val="22"/>
          <w:color w:val="auto"/>
        </w:rPr>
      </w:pPr>
    </w:p>
    <w:p>
      <w:pPr>
        <w:ind w:left="1300" w:right="520" w:firstLine="5"/>
        <w:spacing w:after="0" w:line="263" w:lineRule="auto"/>
        <w:tabs>
          <w:tab w:leader="none" w:pos="1630" w:val="left"/>
        </w:tabs>
        <w:numPr>
          <w:ilvl w:val="2"/>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Emergency Action Plan. Formal plan of procedures to prevent or reduce loss of life and property that could occur if the structure failed. The plan does not include flood plain management for the controlled release of floodwaters for which the project is designed.</w:t>
      </w:r>
    </w:p>
    <w:p>
      <w:pPr>
        <w:spacing w:after="0" w:line="167" w:lineRule="exact"/>
        <w:rPr>
          <w:rFonts w:ascii="Times New Roman" w:cs="Times New Roman" w:eastAsia="Times New Roman" w:hAnsi="Times New Roman"/>
          <w:sz w:val="22"/>
          <w:szCs w:val="22"/>
          <w:color w:val="auto"/>
        </w:rPr>
      </w:pPr>
    </w:p>
    <w:p>
      <w:pPr>
        <w:ind w:right="320" w:firstLine="656"/>
        <w:spacing w:after="0" w:line="284" w:lineRule="auto"/>
        <w:tabs>
          <w:tab w:leader="none" w:pos="99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Dam Classification. The dam constructed pursuant to this authorization shall be classified according to its height and storage capacity (water debris or both) as well as its hazard potential as follows: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Height and Storage Capacity (A, B, C, or D)</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East Peak - C</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Sky Meadows - 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Hazard Potential (Low, Moderate, High):</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East Peak Dam - High</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Sky Meadows Dam - Low</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Classification criteria are contained in FSM 7511, which the Forest Service may amend from time to time.</w:t>
      </w:r>
    </w:p>
    <w:p>
      <w:pPr>
        <w:spacing w:after="0" w:line="220"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22"/>
          <w:szCs w:val="22"/>
          <w:color w:val="auto"/>
        </w:rPr>
        <w:t>The provisions of sections 5 and 8 of this clause apply only to dams classified as high hazard, or as otherwise may be specifically provided for in this authorization to address special or unique circumstances.</w:t>
      </w:r>
    </w:p>
    <w:p>
      <w:pPr>
        <w:spacing w:after="0" w:line="158"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22"/>
          <w:szCs w:val="22"/>
          <w:color w:val="auto"/>
        </w:rPr>
        <w:t>The hazard potential of the dam shall be reassessed at least every ten years by a qualified engineer retained by the holder, and this information made available to the authorized officer. The Forest</w:t>
      </w:r>
    </w:p>
    <w:p>
      <w:pPr>
        <w:sectPr>
          <w:pgSz w:w="11900" w:h="16838" w:orient="portrait"/>
          <w:cols w:equalWidth="0" w:num="1">
            <w:col w:w="11420"/>
          </w:cols>
          <w:pgMar w:left="240" w:top="801" w:right="2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2"/>
          <w:szCs w:val="22"/>
          <w:color w:val="auto"/>
        </w:rPr>
        <w:t>Service may change the hazard potential at any time based on changed conditions or new information.</w:t>
      </w:r>
    </w:p>
    <w:p>
      <w:pPr>
        <w:spacing w:after="0" w:line="220" w:lineRule="exact"/>
        <w:rPr>
          <w:sz w:val="20"/>
          <w:szCs w:val="20"/>
          <w:color w:val="auto"/>
        </w:rPr>
      </w:pPr>
    </w:p>
    <w:p>
      <w:pPr>
        <w:ind w:right="40" w:firstLine="8"/>
        <w:spacing w:after="0" w:line="257" w:lineRule="auto"/>
        <w:tabs>
          <w:tab w:leader="none" w:pos="342"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Construction, Inspection, Certification, and Project Files. For construction, rehabilitation or improvement, the holder shall provide for inspection by a qualified engineer to ensure adequate control of the work being performed. At a minimum, the qualified engineer shall maintain a daily inspection diary, descriptions of design changes, and records of construction material and foundation tests.</w:t>
      </w:r>
    </w:p>
    <w:p>
      <w:pPr>
        <w:spacing w:after="0" w:line="172"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21"/>
          <w:szCs w:val="21"/>
          <w:color w:val="auto"/>
        </w:rPr>
        <w:t>Upon completion of construction, rehabilitation, or improvement, the holder shall forward to the Forest Service a statement from the qualified engineer responsible for inspection certifying that the works were built in accordance with the approved plans and specifications, or approved revisions thereto. No water shall be impounded until approval is given by the authorized officer.</w:t>
      </w:r>
    </w:p>
    <w:p>
      <w:pPr>
        <w:spacing w:after="0" w:line="15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22"/>
          <w:szCs w:val="22"/>
          <w:color w:val="auto"/>
        </w:rPr>
        <w:t>All design notes, as-built plans, and the aforementioned diaries and records shall be maintained in a project file by the holder for the duration of this authorization, and shall be available to the Forest Service or other inspection personnel (not applicable to debris retention dams).</w:t>
      </w:r>
    </w:p>
    <w:p>
      <w:pPr>
        <w:spacing w:after="0" w:line="173" w:lineRule="exact"/>
        <w:rPr>
          <w:sz w:val="20"/>
          <w:szCs w:val="20"/>
          <w:color w:val="auto"/>
        </w:rPr>
      </w:pPr>
    </w:p>
    <w:p>
      <w:pPr>
        <w:ind w:right="80" w:firstLine="8"/>
        <w:spacing w:after="0" w:line="265" w:lineRule="auto"/>
        <w:tabs>
          <w:tab w:leader="none" w:pos="342"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Dam Operation and Maintenance Plans. Prior to the storage of water, the holder shall have an approved plan for the operation and maintenance of the dam and appurtenant structures. The plan(s) shall, as a minimum, describe operating requirements and procedures to be followed for the operation of the structure; routine or recurring maintenance required; record keeping to be performed for operation and maintenance; and individuals responsible for implementing the plans. At the time of the operation and maintenance inspection, the plan shall be reviewed and amended as needed by the individual responsible for implementation and the engineer performing any inspection. No plans or amendments thereto shall be valid until approved by the authorized officer.</w:t>
      </w:r>
    </w:p>
    <w:p>
      <w:pPr>
        <w:spacing w:after="0" w:line="169" w:lineRule="exact"/>
        <w:rPr>
          <w:rFonts w:ascii="Times New Roman" w:cs="Times New Roman" w:eastAsia="Times New Roman" w:hAnsi="Times New Roman"/>
          <w:sz w:val="21"/>
          <w:szCs w:val="21"/>
          <w:color w:val="auto"/>
        </w:rPr>
      </w:pPr>
    </w:p>
    <w:p>
      <w:pPr>
        <w:ind w:right="300" w:firstLine="8"/>
        <w:spacing w:after="0" w:line="284" w:lineRule="auto"/>
        <w:tabs>
          <w:tab w:leader="none" w:pos="342"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Dam Emergency Action Plan. The following provisions are required for certain hazard classifications identified in section 2. The holder shall, prior to storage of water, prepare an emergency action plan which will include, but not be limited to:</w:t>
      </w:r>
    </w:p>
    <w:p>
      <w:pPr>
        <w:spacing w:after="0" w:line="144" w:lineRule="exact"/>
        <w:rPr>
          <w:rFonts w:ascii="Times New Roman" w:cs="Times New Roman" w:eastAsia="Times New Roman" w:hAnsi="Times New Roman"/>
          <w:sz w:val="22"/>
          <w:szCs w:val="22"/>
          <w:color w:val="auto"/>
        </w:rPr>
      </w:pPr>
    </w:p>
    <w:p>
      <w:pPr>
        <w:ind w:left="660" w:right="660" w:hanging="4"/>
        <w:spacing w:after="0" w:line="284" w:lineRule="auto"/>
        <w:tabs>
          <w:tab w:leader="none" w:pos="99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Actions to be taken upon discovery of an unsafe condition or impending failure situation to prevent or delay dam failure, and reduce damage or loss of life from subsequent failure.</w:t>
      </w:r>
    </w:p>
    <w:p>
      <w:pPr>
        <w:spacing w:after="0" w:line="144" w:lineRule="exact"/>
        <w:rPr>
          <w:rFonts w:ascii="Times New Roman" w:cs="Times New Roman" w:eastAsia="Times New Roman" w:hAnsi="Times New Roman"/>
          <w:sz w:val="22"/>
          <w:szCs w:val="22"/>
          <w:color w:val="auto"/>
        </w:rPr>
      </w:pPr>
    </w:p>
    <w:p>
      <w:pPr>
        <w:ind w:left="1000" w:hanging="344"/>
        <w:spacing w:after="0"/>
        <w:tabs>
          <w:tab w:leader="none" w:pos="100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Procedures for notification of law enforcement, civil preparedness, and Forest Service personnel.</w:t>
      </w:r>
    </w:p>
    <w:p>
      <w:pPr>
        <w:spacing w:after="0" w:line="233"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Procedures for notifying persons in immediate danger of losing life or property.</w:t>
      </w:r>
    </w:p>
    <w:p>
      <w:pPr>
        <w:spacing w:after="0" w:line="233" w:lineRule="exact"/>
        <w:rPr>
          <w:rFonts w:ascii="Times New Roman" w:cs="Times New Roman" w:eastAsia="Times New Roman" w:hAnsi="Times New Roman"/>
          <w:sz w:val="22"/>
          <w:szCs w:val="22"/>
          <w:color w:val="auto"/>
        </w:rPr>
      </w:pPr>
    </w:p>
    <w:p>
      <w:pPr>
        <w:ind w:left="1000" w:hanging="344"/>
        <w:spacing w:after="0"/>
        <w:tabs>
          <w:tab w:leader="none" w:pos="100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Maps delineating the area which would be inundated by water, debris, or both in the event of dam failure.</w:t>
      </w:r>
    </w:p>
    <w:p>
      <w:pPr>
        <w:spacing w:after="0" w:line="233"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names of those individuals responsible for activating the plan and carrying out the identified actions.</w:t>
      </w:r>
    </w:p>
    <w:p>
      <w:pPr>
        <w:spacing w:after="0" w:line="23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2"/>
          <w:szCs w:val="22"/>
          <w:color w:val="auto"/>
        </w:rPr>
        <w:t>In preparing the emergency action plan, the holder shall consult and cooperate with appropriate law enforcement and civil preparedness personnel, who may be responsible for implementing all or part of the plan. Emergency action plans shall be reviewed and updated annually, and tested at intervals not exceeding five years.</w:t>
      </w:r>
    </w:p>
    <w:p>
      <w:pPr>
        <w:sectPr>
          <w:pgSz w:w="11900" w:h="16838" w:orient="portrait"/>
          <w:cols w:equalWidth="0" w:num="1">
            <w:col w:w="11420"/>
          </w:cols>
          <w:pgMar w:left="240" w:top="801" w:right="239" w:bottom="1440" w:gutter="0" w:footer="0" w:header="0"/>
        </w:sectPr>
      </w:pPr>
    </w:p>
    <w:bookmarkStart w:id="124" w:name="page125"/>
    <w:bookmarkEnd w:id="124"/>
    <w:p>
      <w:pPr>
        <w:jc w:val="both"/>
        <w:ind w:right="340" w:firstLine="8"/>
        <w:spacing w:after="0" w:line="257" w:lineRule="auto"/>
        <w:tabs>
          <w:tab w:leader="none" w:pos="342"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Inspection and Maintenance of Dams. The holder shall have the dam and appurtenant structures inspected by a qualified engineer to determine the state of operation and maintenance at least every year. An inspection shall also be made following earthquakes, major storms, or overflow of spillways other than the service spillway. Two copies of the inspection report shall be provided to the authorized officer within 30 days of the date of inspection.</w:t>
      </w:r>
    </w:p>
    <w:p>
      <w:pPr>
        <w:spacing w:after="0" w:line="17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color w:val="auto"/>
        </w:rPr>
        <w:t>Repairs or operational changes recommended by the inspecting engineer shall be made by the holder within a reasonable period of time following the inspection, but in no event later than one year from the inspection (unless a longer period of repairs is authorized in writing, or a shorter period is required when such repairs are deemed by the authorized officer as immediately required for reasons of public safety). Upon request by the authorized officer, the holder shall provide a plan of action outlining planned time and methods for performing said repairs or operational changes, and notify the authorized officer when actions are completed. The authorized officer shall specify a completion date for corrective work. If corrective action Is not taken by the date specified by the authorized officer, the Forest Service shall have corrective action taken and the holder shall be responsible for all costs including legal and court costs.</w:t>
      </w:r>
    </w:p>
    <w:p>
      <w:pPr>
        <w:spacing w:after="0" w:line="186" w:lineRule="exact"/>
        <w:rPr>
          <w:sz w:val="20"/>
          <w:szCs w:val="20"/>
          <w:color w:val="auto"/>
        </w:rPr>
      </w:pPr>
    </w:p>
    <w:p>
      <w:pPr>
        <w:ind w:right="60" w:firstLine="8"/>
        <w:spacing w:after="0" w:line="265" w:lineRule="auto"/>
        <w:tabs>
          <w:tab w:leader="none" w:pos="342"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Forest Service Inspection of Dams. The holder shall allow inspection of the dam and appurtenant structures at any time by the authorized officer. Any condition adversely affecting or which could adversely affect the operation of the facility; safety of the structure or the public, or surrounding lands and resources shall, upon written notice, be corrected or changed by the holder at the holder’s expense. The authorized officer shall specify a completion date for corrective work. If corrective action is not taken by the date specified by the authorized officer, the Forest Service shall have corrective action taken and the holder shall be responsible for all costs including legal and court costs. A copy of the Forest Service inspection report shall be provided to the holder.</w:t>
      </w:r>
    </w:p>
    <w:p>
      <w:pPr>
        <w:spacing w:after="0" w:line="169"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22"/>
          <w:szCs w:val="22"/>
          <w:color w:val="auto"/>
        </w:rPr>
        <w:t>An inspection performed by the Forest Service does not relieve the holder of the responsibility of ensuring that inspections are made in accordance with section 6 of this clause.</w:t>
      </w:r>
    </w:p>
    <w:p>
      <w:pPr>
        <w:spacing w:after="0" w:line="15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2"/>
          <w:szCs w:val="22"/>
          <w:color w:val="auto"/>
        </w:rPr>
        <w:t>8.</w:t>
      </w:r>
      <w:r>
        <w:rPr>
          <w:sz w:val="20"/>
          <w:szCs w:val="20"/>
          <w:color w:val="auto"/>
        </w:rPr>
        <w:tab/>
      </w:r>
      <w:r>
        <w:rPr>
          <w:rFonts w:ascii="Times New Roman" w:cs="Times New Roman" w:eastAsia="Times New Roman" w:hAnsi="Times New Roman"/>
          <w:sz w:val="21"/>
          <w:szCs w:val="21"/>
          <w:color w:val="auto"/>
        </w:rPr>
        <w:t>Dam Safety Evaluations. This provision is required for certain hazard classifications identified in section 2.</w:t>
      </w:r>
    </w:p>
    <w:p>
      <w:pPr>
        <w:spacing w:after="0" w:line="2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1"/>
          <w:szCs w:val="21"/>
          <w:color w:val="auto"/>
        </w:rPr>
        <w:t>Beginning in 2002 and at 5-year intervals thereafter, the holder shall have a formal dam safety evaluation performed by a qualified engineer to verify the safety and integrity of the dam and appurtenant structures. The evaluation will include, but is not limited to, a detailed field inspection of the dam and appurtenant structures and a review of all pertinent documents, such as investigation, design, construction, instrumentation, operation, maintenance, and inspection records. The evaluation shall be based on current accepted design criteria and practices. The holder shall provide two copies of the evaluation report to the authorized officer and Regional Engineer. Based on this report, the authorized officer may require the holder to perform additional evaluations pursuant to such standards as the officer may define and may require rehabilitation or modification of the structure within a reasonable time.</w:t>
      </w:r>
    </w:p>
    <w:p>
      <w:pPr>
        <w:spacing w:after="0" w:line="174" w:lineRule="exact"/>
        <w:rPr>
          <w:sz w:val="20"/>
          <w:szCs w:val="20"/>
          <w:color w:val="auto"/>
        </w:rPr>
      </w:pPr>
    </w:p>
    <w:p>
      <w:pPr>
        <w:ind w:left="360" w:hanging="352"/>
        <w:spacing w:after="0"/>
        <w:tabs>
          <w:tab w:leader="none" w:pos="36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 of Action To Abate Emergency Situations. In situations where the authorized officer determines on the available facts</w:t>
      </w:r>
    </w:p>
    <w:p>
      <w:pPr>
        <w:spacing w:after="0" w:line="29" w:lineRule="exact"/>
        <w:rPr>
          <w:rFonts w:ascii="Times New Roman" w:cs="Times New Roman" w:eastAsia="Times New Roman" w:hAnsi="Times New Roman"/>
          <w:sz w:val="22"/>
          <w:szCs w:val="22"/>
          <w:color w:val="auto"/>
        </w:rPr>
      </w:pPr>
    </w:p>
    <w:p>
      <w:pPr>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there is danger of a dam failure for any reason, such officer may exercise discretionary authority to enter upon the structure and appurtenances authorized herein and take such actions as are necessary to abate or otherwise prevent a failure. Such actions include, but are not limited to, lowering the level of the impounded waters utilizing existing structures or by artificial breach of the dam. In the event that such actions are taken, the United States shall not indemnify or otherwise be liable to the holder for losses or damages, including</w:t>
      </w:r>
    </w:p>
    <w:p>
      <w:pPr>
        <w:sectPr>
          <w:pgSz w:w="11900" w:h="16838" w:orient="portrait"/>
          <w:cols w:equalWidth="0" w:num="1">
            <w:col w:w="11400"/>
          </w:cols>
          <w:pgMar w:left="240" w:top="801" w:right="259" w:bottom="1440" w:gutter="0" w:footer="0" w:header="0"/>
        </w:sectPr>
      </w:pPr>
    </w:p>
    <w:bookmarkStart w:id="125" w:name="page126"/>
    <w:bookmarkEnd w:id="125"/>
    <w:p>
      <w:pPr>
        <w:ind w:right="100"/>
        <w:spacing w:after="0" w:line="257" w:lineRule="auto"/>
        <w:rPr>
          <w:sz w:val="20"/>
          <w:szCs w:val="20"/>
          <w:color w:val="auto"/>
        </w:rPr>
      </w:pPr>
      <w:r>
        <w:rPr>
          <w:rFonts w:ascii="Times New Roman" w:cs="Times New Roman" w:eastAsia="Times New Roman" w:hAnsi="Times New Roman"/>
          <w:sz w:val="22"/>
          <w:szCs w:val="22"/>
          <w:color w:val="auto"/>
        </w:rPr>
        <w:t>losses or damages to the structure or the value of impounded waters. The holder shall be responsible for all costs including legal and court costs. The failure of the Forest Service to exercise any discretion under this provision shall not be a violation of any duty by the United States, and shall not relieve the holder of any and all liability for damages in the event of a dam failure.</w:t>
      </w:r>
    </w:p>
    <w:p>
      <w:pPr>
        <w:spacing w:after="0" w:line="173" w:lineRule="exact"/>
        <w:rPr>
          <w:sz w:val="20"/>
          <w:szCs w:val="20"/>
          <w:color w:val="auto"/>
        </w:rPr>
      </w:pPr>
    </w:p>
    <w:p>
      <w:pPr>
        <w:ind w:right="60" w:firstLine="8"/>
        <w:spacing w:after="0" w:line="253" w:lineRule="auto"/>
        <w:tabs>
          <w:tab w:leader="none" w:pos="45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Liability. The activities permitted by this authorization shall be deemed a high-risk use and occupancy. Sole responsibility for the safety of the dam and associated facilities and any liability resulting therefrom shall be on the holder and his successors, agents, or assigns. Pursuant to 36 CFR 251.56(d), or its replacement, the holder shall be liable for injury, loss, or damage resulting from this authorization regardless of the holder’s fault or negligence. Maximum strict liability shall not exceed $1,000,000.00 except as that amount may be changed in the aforementioned regulations.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addition to all waivers and limitations on liability of the United States under this authorization, the provisions of 33 U.S.C.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702(c) shall apply to any damages from or by floods or floodwaters at any place.</w:t>
      </w:r>
    </w:p>
    <w:p>
      <w:pPr>
        <w:spacing w:after="0" w:line="19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According to the Paperwork Reduction Act of 1995, no persons are required to respond to a collection of information unless It displays a valid OMB control number. The valid OMB control number for this information collection is 0596-0082.</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information is needed by the Forest Service to evaluate requests to use National Forest System lands and manage those lands to protect natural resources, administer the use, and ensure public health and safety. This information is required to obtain or retain a benefit. The authority for that requirement is provided by the Organic Act of 1897 and the Federal Land Policy and Management Act of 1976, which authorize the Secretary of Agriculture to promulgate rules and regulations for authorizing and managing National Forest System lands. These statutes, along with the Term Permit Act, National Forest Ski Area Permit Act, Granger-Thye Act, Mineral Leasing Act, Alaska Term Permit Act, Act of September 3, 1954, Wilderness Act, National Forest Roads and Trails Act, Act of November 16, 1973, Archaeological Resources Protection Act, and Alaska National Interest Lands Conservation Act, authorize the Secretary of Agriculture to issue authorizations for the use and occupancy of National Forest System lands, The Secretary of Agriculture’s regulations at 36 CFR Part 251, Subpart B, establish procedures for issuing those authorizations.</w:t>
      </w:r>
    </w:p>
    <w:p>
      <w:pPr>
        <w:spacing w:after="0" w:line="18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Privacy Act of 1974 (5 U.S.C. 552a) and the Freedom of Information Act (5 U.S.C. 552) govern the confidentiality to be provided for information received by the Forest Service.</w:t>
      </w:r>
    </w:p>
    <w:p>
      <w:pPr>
        <w:spacing w:after="0" w:line="16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Public reporting burden for this collection of information is estimated to average 12 hours per response, including the time for reviewing instructions, searching existing data sources, gathering and maintaining the data needed, and completing and reviewing the collection of information.</w:t>
      </w:r>
    </w:p>
    <w:p>
      <w:pPr>
        <w:sectPr>
          <w:pgSz w:w="11900" w:h="16838" w:orient="portrait"/>
          <w:cols w:equalWidth="0" w:num="1">
            <w:col w:w="11420"/>
          </w:cols>
          <w:pgMar w:left="240" w:top="801" w:right="239" w:bottom="1440" w:gutter="0" w:footer="0" w:header="0"/>
        </w:sectPr>
      </w:pPr>
    </w:p>
    <w:bookmarkStart w:id="126" w:name="page127"/>
    <w:bookmarkEnd w:id="126"/>
    <w:p>
      <w:pPr>
        <w:ind w:left="5300"/>
        <w:spacing w:after="0"/>
        <w:rPr>
          <w:sz w:val="20"/>
          <w:szCs w:val="20"/>
          <w:color w:val="auto"/>
        </w:rPr>
      </w:pPr>
      <w:r>
        <w:rPr>
          <w:rFonts w:ascii="Times New Roman" w:cs="Times New Roman" w:eastAsia="Times New Roman" w:hAnsi="Times New Roman"/>
          <w:sz w:val="22"/>
          <w:szCs w:val="22"/>
          <w:color w:val="auto"/>
        </w:rPr>
        <w:t>Exhibit A</w:t>
      </w:r>
    </w:p>
    <w:p>
      <w:pPr>
        <w:spacing w:after="0" w:line="220" w:lineRule="exact"/>
        <w:rPr>
          <w:sz w:val="20"/>
          <w:szCs w:val="20"/>
          <w:color w:val="auto"/>
        </w:rPr>
      </w:pPr>
    </w:p>
    <w:p>
      <w:pPr>
        <w:jc w:val="right"/>
        <w:ind w:right="2819"/>
        <w:spacing w:after="0"/>
        <w:rPr>
          <w:sz w:val="20"/>
          <w:szCs w:val="20"/>
          <w:color w:val="auto"/>
        </w:rPr>
      </w:pPr>
      <w:r>
        <w:rPr>
          <w:rFonts w:ascii="Times New Roman" w:cs="Times New Roman" w:eastAsia="Times New Roman" w:hAnsi="Times New Roman"/>
          <w:sz w:val="22"/>
          <w:szCs w:val="22"/>
          <w:color w:val="auto"/>
        </w:rPr>
        <w:t>Improvements - California and Nevada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Authorized uphill systems on National Forest and Private land (existing):</w:t>
      </w:r>
    </w:p>
    <w:p>
      <w:pPr>
        <w:spacing w:after="0" w:line="220" w:lineRule="exact"/>
        <w:rPr>
          <w:sz w:val="20"/>
          <w:szCs w:val="20"/>
          <w:color w:val="auto"/>
        </w:rPr>
      </w:pPr>
    </w:p>
    <w:p>
      <w:pPr>
        <w:ind w:left="360" w:hanging="352"/>
        <w:spacing w:after="0"/>
        <w:tabs>
          <w:tab w:leader="none" w:pos="36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Tramways California</w:t>
      </w:r>
    </w:p>
    <w:p>
      <w:pPr>
        <w:spacing w:after="0" w:line="273"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Heavenly Tram</w:t>
      </w:r>
    </w:p>
    <w:p>
      <w:pPr>
        <w:spacing w:after="0" w:line="29" w:lineRule="exact"/>
        <w:rPr>
          <w:rFonts w:ascii="Times New Roman" w:cs="Times New Roman" w:eastAsia="Times New Roman" w:hAnsi="Times New Roman"/>
          <w:sz w:val="22"/>
          <w:szCs w:val="22"/>
          <w:color w:val="auto"/>
        </w:rPr>
      </w:pPr>
    </w:p>
    <w:p>
      <w:pPr>
        <w:ind w:left="1000" w:hanging="344"/>
        <w:spacing w:after="0"/>
        <w:tabs>
          <w:tab w:leader="none" w:pos="100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Von Schmidt’s Gondola</w:t>
      </w:r>
    </w:p>
    <w:p>
      <w:pPr>
        <w:spacing w:after="0" w:line="220"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Chair Lifts California</w:t>
      </w:r>
    </w:p>
    <w:p>
      <w:pPr>
        <w:spacing w:after="0" w:line="273"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Gunbarrel Express</w:t>
      </w:r>
    </w:p>
    <w:p>
      <w:pPr>
        <w:spacing w:after="0" w:line="29" w:lineRule="exact"/>
        <w:rPr>
          <w:rFonts w:ascii="Times New Roman" w:cs="Times New Roman" w:eastAsia="Times New Roman" w:hAnsi="Times New Roman"/>
          <w:sz w:val="22"/>
          <w:szCs w:val="22"/>
          <w:color w:val="auto"/>
        </w:rPr>
      </w:pPr>
    </w:p>
    <w:p>
      <w:pPr>
        <w:ind w:left="1000" w:hanging="344"/>
        <w:spacing w:after="0"/>
        <w:tabs>
          <w:tab w:leader="none" w:pos="100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World Cup</w:t>
      </w:r>
    </w:p>
    <w:p>
      <w:pPr>
        <w:spacing w:after="0" w:line="17"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Patsy’s</w:t>
      </w:r>
    </w:p>
    <w:p>
      <w:pPr>
        <w:spacing w:after="0" w:line="17" w:lineRule="exact"/>
        <w:rPr>
          <w:rFonts w:ascii="Times New Roman" w:cs="Times New Roman" w:eastAsia="Times New Roman" w:hAnsi="Times New Roman"/>
          <w:sz w:val="22"/>
          <w:szCs w:val="22"/>
          <w:color w:val="auto"/>
        </w:rPr>
      </w:pPr>
    </w:p>
    <w:p>
      <w:pPr>
        <w:ind w:left="1000" w:hanging="344"/>
        <w:spacing w:after="0"/>
        <w:tabs>
          <w:tab w:leader="none" w:pos="100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Waterfall</w:t>
      </w:r>
    </w:p>
    <w:p>
      <w:pPr>
        <w:spacing w:after="0" w:line="17"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Powder Bowl</w:t>
      </w:r>
    </w:p>
    <w:p>
      <w:pPr>
        <w:spacing w:after="0" w:line="17"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Groove</w:t>
      </w:r>
    </w:p>
    <w:p>
      <w:pPr>
        <w:spacing w:after="0" w:line="17" w:lineRule="exact"/>
        <w:rPr>
          <w:rFonts w:ascii="Times New Roman" w:cs="Times New Roman" w:eastAsia="Times New Roman" w:hAnsi="Times New Roman"/>
          <w:sz w:val="22"/>
          <w:szCs w:val="22"/>
          <w:color w:val="auto"/>
        </w:rPr>
      </w:pPr>
    </w:p>
    <w:p>
      <w:pPr>
        <w:ind w:left="1000" w:hanging="344"/>
        <w:spacing w:after="0"/>
        <w:tabs>
          <w:tab w:leader="none" w:pos="100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Ridge</w:t>
      </w:r>
    </w:p>
    <w:p>
      <w:pPr>
        <w:spacing w:after="0" w:line="17" w:lineRule="exact"/>
        <w:rPr>
          <w:rFonts w:ascii="Times New Roman" w:cs="Times New Roman" w:eastAsia="Times New Roman" w:hAnsi="Times New Roman"/>
          <w:sz w:val="22"/>
          <w:szCs w:val="22"/>
          <w:color w:val="auto"/>
        </w:rPr>
      </w:pPr>
    </w:p>
    <w:p>
      <w:pPr>
        <w:ind w:left="1000" w:hanging="344"/>
        <w:spacing w:after="0"/>
        <w:tabs>
          <w:tab w:leader="none" w:pos="100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Canyon</w:t>
      </w:r>
    </w:p>
    <w:p>
      <w:pPr>
        <w:spacing w:after="0" w:line="17"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Sky Express</w:t>
      </w:r>
    </w:p>
    <w:p>
      <w:pPr>
        <w:spacing w:after="0" w:line="17"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Tamarack Express</w:t>
      </w:r>
    </w:p>
    <w:p>
      <w:pPr>
        <w:spacing w:after="0" w:line="17" w:lineRule="exact"/>
        <w:rPr>
          <w:rFonts w:ascii="Times New Roman" w:cs="Times New Roman" w:eastAsia="Times New Roman" w:hAnsi="Times New Roman"/>
          <w:sz w:val="22"/>
          <w:szCs w:val="22"/>
          <w:color w:val="auto"/>
        </w:rPr>
      </w:pPr>
    </w:p>
    <w:p>
      <w:pPr>
        <w:ind w:left="1000" w:hanging="344"/>
        <w:spacing w:after="0"/>
        <w:tabs>
          <w:tab w:leader="none" w:pos="100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Perfect Ride (Private)</w:t>
      </w:r>
    </w:p>
    <w:p>
      <w:pPr>
        <w:spacing w:after="0" w:line="220"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Surface Lifts California</w:t>
      </w:r>
    </w:p>
    <w:p>
      <w:pPr>
        <w:spacing w:after="0" w:line="2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Pioneer Mitey Mite</w:t>
      </w:r>
    </w:p>
    <w:p>
      <w:pPr>
        <w:spacing w:after="0" w:line="17" w:lineRule="exact"/>
        <w:rPr>
          <w:rFonts w:ascii="Times New Roman" w:cs="Times New Roman" w:eastAsia="Times New Roman" w:hAnsi="Times New Roman"/>
          <w:sz w:val="22"/>
          <w:szCs w:val="22"/>
          <w:color w:val="auto"/>
        </w:rPr>
      </w:pPr>
    </w:p>
    <w:p>
      <w:pPr>
        <w:ind w:left="1000" w:hanging="344"/>
        <w:spacing w:after="0"/>
        <w:tabs>
          <w:tab w:leader="none" w:pos="100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Von Schmidt’s Mitey Mite (snow-play)</w:t>
      </w:r>
    </w:p>
    <w:p>
      <w:pPr>
        <w:spacing w:after="0" w:line="17"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Magic Carpet (Private)</w:t>
      </w:r>
    </w:p>
    <w:p>
      <w:pPr>
        <w:spacing w:after="0" w:line="17" w:lineRule="exact"/>
        <w:rPr>
          <w:rFonts w:ascii="Times New Roman" w:cs="Times New Roman" w:eastAsia="Times New Roman" w:hAnsi="Times New Roman"/>
          <w:sz w:val="22"/>
          <w:szCs w:val="22"/>
          <w:color w:val="auto"/>
        </w:rPr>
      </w:pPr>
    </w:p>
    <w:p>
      <w:pPr>
        <w:ind w:left="1000" w:hanging="344"/>
        <w:spacing w:after="0"/>
        <w:tabs>
          <w:tab w:leader="none" w:pos="100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Enchanted Forest Mitey Mite (2 - Private)</w:t>
      </w:r>
    </w:p>
    <w:p>
      <w:pPr>
        <w:spacing w:after="0" w:line="17"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Mitey Mite Development Zone (Private)</w:t>
      </w:r>
    </w:p>
    <w:p>
      <w:pPr>
        <w:spacing w:after="0" w:line="261"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Chair Lifts Nevada</w:t>
      </w:r>
    </w:p>
    <w:p>
      <w:pPr>
        <w:spacing w:after="0" w:line="273"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Dipper Express</w:t>
      </w:r>
    </w:p>
    <w:p>
      <w:pPr>
        <w:spacing w:after="0" w:line="29" w:lineRule="exact"/>
        <w:rPr>
          <w:rFonts w:ascii="Times New Roman" w:cs="Times New Roman" w:eastAsia="Times New Roman" w:hAnsi="Times New Roman"/>
          <w:sz w:val="22"/>
          <w:szCs w:val="22"/>
          <w:color w:val="auto"/>
        </w:rPr>
      </w:pPr>
    </w:p>
    <w:p>
      <w:pPr>
        <w:ind w:left="1000" w:hanging="344"/>
        <w:spacing w:after="0"/>
        <w:tabs>
          <w:tab w:leader="none" w:pos="100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Olympic</w:t>
      </w:r>
    </w:p>
    <w:p>
      <w:pPr>
        <w:spacing w:after="0" w:line="17"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Stagecoach Express</w:t>
      </w:r>
    </w:p>
    <w:p>
      <w:pPr>
        <w:spacing w:after="0" w:line="17" w:lineRule="exact"/>
        <w:rPr>
          <w:rFonts w:ascii="Times New Roman" w:cs="Times New Roman" w:eastAsia="Times New Roman" w:hAnsi="Times New Roman"/>
          <w:sz w:val="22"/>
          <w:szCs w:val="22"/>
          <w:color w:val="auto"/>
        </w:rPr>
      </w:pPr>
    </w:p>
    <w:p>
      <w:pPr>
        <w:ind w:left="1000" w:hanging="344"/>
        <w:spacing w:after="0"/>
        <w:tabs>
          <w:tab w:leader="none" w:pos="100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Galaxy</w:t>
      </w:r>
    </w:p>
    <w:p>
      <w:pPr>
        <w:spacing w:after="0" w:line="17"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Boulder</w:t>
      </w:r>
    </w:p>
    <w:p>
      <w:pPr>
        <w:spacing w:after="0" w:line="17"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Comet Express</w:t>
      </w:r>
    </w:p>
    <w:p>
      <w:pPr>
        <w:spacing w:after="0" w:line="17" w:lineRule="exact"/>
        <w:rPr>
          <w:rFonts w:ascii="Times New Roman" w:cs="Times New Roman" w:eastAsia="Times New Roman" w:hAnsi="Times New Roman"/>
          <w:sz w:val="22"/>
          <w:szCs w:val="22"/>
          <w:color w:val="auto"/>
        </w:rPr>
      </w:pPr>
    </w:p>
    <w:p>
      <w:pPr>
        <w:ind w:left="1000" w:hanging="344"/>
        <w:spacing w:after="0"/>
        <w:tabs>
          <w:tab w:leader="none" w:pos="100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North Bowl</w:t>
      </w:r>
    </w:p>
    <w:p>
      <w:pPr>
        <w:spacing w:after="0" w:line="261"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Surface lifts Nevada</w:t>
      </w:r>
    </w:p>
    <w:p>
      <w:pPr>
        <w:spacing w:after="0" w:line="273"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Boulder Mitey Mite (Private)</w:t>
      </w:r>
    </w:p>
    <w:p>
      <w:pPr>
        <w:spacing w:after="0" w:line="29" w:lineRule="exact"/>
        <w:rPr>
          <w:rFonts w:ascii="Times New Roman" w:cs="Times New Roman" w:eastAsia="Times New Roman" w:hAnsi="Times New Roman"/>
          <w:sz w:val="22"/>
          <w:szCs w:val="22"/>
          <w:color w:val="auto"/>
        </w:rPr>
      </w:pPr>
    </w:p>
    <w:p>
      <w:pPr>
        <w:ind w:left="1000" w:hanging="344"/>
        <w:spacing w:after="0"/>
        <w:tabs>
          <w:tab w:leader="none" w:pos="100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Boulder Magic Carpet (private)</w:t>
      </w:r>
    </w:p>
    <w:p>
      <w:pPr>
        <w:spacing w:after="0" w:line="261"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Buildings and Improvements in California</w:t>
      </w:r>
    </w:p>
    <w:p>
      <w:pPr>
        <w:spacing w:after="0" w:line="273"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Top of the Tram Restaurant</w:t>
      </w:r>
    </w:p>
    <w:p>
      <w:pPr>
        <w:sectPr>
          <w:pgSz w:w="11900" w:h="16838" w:orient="portrait"/>
          <w:cols w:equalWidth="0" w:num="1">
            <w:col w:w="10219"/>
          </w:cols>
          <w:pgMar w:left="240" w:top="801" w:right="1440" w:bottom="1440" w:gutter="0" w:footer="0" w:header="0"/>
        </w:sectPr>
      </w:pPr>
    </w:p>
    <w:bookmarkStart w:id="127" w:name="page128"/>
    <w:bookmarkEnd w:id="127"/>
    <w:p>
      <w:pPr>
        <w:ind w:left="992" w:hanging="344"/>
        <w:spacing w:after="0"/>
        <w:tabs>
          <w:tab w:leader="none" w:pos="99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Top of the Tram Maintenance Building, Yard, Fuel Storage</w:t>
      </w:r>
    </w:p>
    <w:p>
      <w:pPr>
        <w:spacing w:after="0" w:line="29" w:lineRule="exact"/>
        <w:rPr>
          <w:rFonts w:ascii="Times New Roman" w:cs="Times New Roman" w:eastAsia="Times New Roman" w:hAnsi="Times New Roman"/>
          <w:sz w:val="22"/>
          <w:szCs w:val="22"/>
          <w:color w:val="auto"/>
        </w:rPr>
      </w:pPr>
    </w:p>
    <w:p>
      <w:pPr>
        <w:ind w:left="972" w:hanging="324"/>
        <w:spacing w:after="0"/>
        <w:tabs>
          <w:tab w:leader="none" w:pos="97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Top of the Tram Ski School</w:t>
      </w:r>
    </w:p>
    <w:p>
      <w:pPr>
        <w:spacing w:after="0" w:line="17" w:lineRule="exact"/>
        <w:rPr>
          <w:rFonts w:ascii="Times New Roman" w:cs="Times New Roman" w:eastAsia="Times New Roman" w:hAnsi="Times New Roman"/>
          <w:sz w:val="22"/>
          <w:szCs w:val="22"/>
          <w:color w:val="auto"/>
        </w:rPr>
      </w:pPr>
    </w:p>
    <w:p>
      <w:pPr>
        <w:ind w:left="992" w:hanging="344"/>
        <w:spacing w:after="0"/>
        <w:tabs>
          <w:tab w:leader="none" w:pos="99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Patsy’s Hut</w:t>
      </w:r>
    </w:p>
    <w:p>
      <w:pPr>
        <w:spacing w:after="0" w:line="17" w:lineRule="exact"/>
        <w:rPr>
          <w:rFonts w:ascii="Times New Roman" w:cs="Times New Roman" w:eastAsia="Times New Roman" w:hAnsi="Times New Roman"/>
          <w:sz w:val="22"/>
          <w:szCs w:val="22"/>
          <w:color w:val="auto"/>
        </w:rPr>
      </w:pPr>
    </w:p>
    <w:p>
      <w:pPr>
        <w:ind w:left="972" w:hanging="324"/>
        <w:spacing w:after="0"/>
        <w:tabs>
          <w:tab w:leader="none" w:pos="97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Powder Magazine (Creek Station)</w:t>
      </w:r>
    </w:p>
    <w:p>
      <w:pPr>
        <w:spacing w:after="0" w:line="17" w:lineRule="exact"/>
        <w:rPr>
          <w:rFonts w:ascii="Times New Roman" w:cs="Times New Roman" w:eastAsia="Times New Roman" w:hAnsi="Times New Roman"/>
          <w:sz w:val="22"/>
          <w:szCs w:val="22"/>
          <w:color w:val="auto"/>
        </w:rPr>
      </w:pPr>
    </w:p>
    <w:p>
      <w:pPr>
        <w:ind w:left="952" w:hanging="304"/>
        <w:spacing w:after="0"/>
        <w:tabs>
          <w:tab w:leader="none" w:pos="95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Sky Meadow Food Service/Deck</w:t>
      </w:r>
    </w:p>
    <w:p>
      <w:pPr>
        <w:spacing w:after="0" w:line="17" w:lineRule="exact"/>
        <w:rPr>
          <w:rFonts w:ascii="Times New Roman" w:cs="Times New Roman" w:eastAsia="Times New Roman" w:hAnsi="Times New Roman"/>
          <w:sz w:val="22"/>
          <w:szCs w:val="22"/>
          <w:color w:val="auto"/>
        </w:rPr>
      </w:pPr>
    </w:p>
    <w:p>
      <w:pPr>
        <w:ind w:left="992" w:hanging="344"/>
        <w:spacing w:after="0"/>
        <w:tabs>
          <w:tab w:leader="none" w:pos="99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Sky Meadow restrooms</w:t>
      </w:r>
    </w:p>
    <w:p>
      <w:pPr>
        <w:spacing w:after="0" w:line="17" w:lineRule="exact"/>
        <w:rPr>
          <w:rFonts w:ascii="Times New Roman" w:cs="Times New Roman" w:eastAsia="Times New Roman" w:hAnsi="Times New Roman"/>
          <w:sz w:val="22"/>
          <w:szCs w:val="22"/>
          <w:color w:val="auto"/>
        </w:rPr>
      </w:pPr>
    </w:p>
    <w:p>
      <w:pPr>
        <w:ind w:left="992" w:hanging="344"/>
        <w:spacing w:after="0"/>
        <w:tabs>
          <w:tab w:leader="none" w:pos="99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Face Ski Patrol Building</w:t>
      </w:r>
    </w:p>
    <w:p>
      <w:pPr>
        <w:spacing w:after="0" w:line="17" w:lineRule="exact"/>
        <w:rPr>
          <w:rFonts w:ascii="Times New Roman" w:cs="Times New Roman" w:eastAsia="Times New Roman" w:hAnsi="Times New Roman"/>
          <w:sz w:val="22"/>
          <w:szCs w:val="22"/>
          <w:color w:val="auto"/>
        </w:rPr>
      </w:pPr>
    </w:p>
    <w:p>
      <w:pPr>
        <w:ind w:left="952" w:hanging="304"/>
        <w:spacing w:after="0"/>
        <w:tabs>
          <w:tab w:leader="none" w:pos="95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Sky Dam/Reservoir</w:t>
      </w:r>
    </w:p>
    <w:p>
      <w:pPr>
        <w:spacing w:after="0" w:line="17" w:lineRule="exact"/>
        <w:rPr>
          <w:rFonts w:ascii="Times New Roman" w:cs="Times New Roman" w:eastAsia="Times New Roman" w:hAnsi="Times New Roman"/>
          <w:sz w:val="22"/>
          <w:szCs w:val="22"/>
          <w:color w:val="auto"/>
        </w:rPr>
      </w:pPr>
    </w:p>
    <w:p>
      <w:pPr>
        <w:ind w:left="1292" w:right="380" w:firstLine="5"/>
        <w:spacing w:after="0" w:line="255" w:lineRule="auto"/>
        <w:tabs>
          <w:tab w:leader="none" w:pos="1634"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Water Rights Permits #10921, and 11153 include the right to store and divert the waters of Heavenly Valley Creek into the Heavenly Meadow Reservoir for the purpose of snow making.</w:t>
      </w:r>
    </w:p>
    <w:p>
      <w:pPr>
        <w:ind w:left="1292" w:firstLine="5"/>
        <w:spacing w:after="0" w:line="249" w:lineRule="auto"/>
        <w:tabs>
          <w:tab w:leader="none" w:pos="1634"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Water Rights Permits #10920 and #10919, include the right to store and divert waters of Heavenly Valley Creek into Heavenly Meadow reservoir for the purposes of domestic use and erosion control.</w:t>
      </w:r>
    </w:p>
    <w:p>
      <w:pPr>
        <w:spacing w:after="0" w:line="1" w:lineRule="exact"/>
        <w:rPr>
          <w:rFonts w:ascii="Times New Roman" w:cs="Times New Roman" w:eastAsia="Times New Roman" w:hAnsi="Times New Roman"/>
          <w:sz w:val="22"/>
          <w:szCs w:val="22"/>
          <w:color w:val="auto"/>
        </w:rPr>
      </w:pPr>
    </w:p>
    <w:p>
      <w:pPr>
        <w:ind w:left="1632" w:hanging="335"/>
        <w:spacing w:after="0"/>
        <w:tabs>
          <w:tab w:leader="none" w:pos="1632"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Additional water rights applied for #’s 30227 and 30228 to be used for snow-pack augmentation.</w:t>
      </w:r>
    </w:p>
    <w:p>
      <w:pPr>
        <w:spacing w:after="0" w:line="5" w:lineRule="exact"/>
        <w:rPr>
          <w:rFonts w:ascii="Times New Roman" w:cs="Times New Roman" w:eastAsia="Times New Roman" w:hAnsi="Times New Roman"/>
          <w:sz w:val="22"/>
          <w:szCs w:val="22"/>
          <w:color w:val="auto"/>
        </w:rPr>
      </w:pPr>
    </w:p>
    <w:p>
      <w:pPr>
        <w:ind w:left="952" w:hanging="304"/>
        <w:spacing w:after="0"/>
        <w:tabs>
          <w:tab w:leader="none" w:pos="95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Sky Pump House/Snowmaking Equipment Building</w:t>
      </w:r>
    </w:p>
    <w:p>
      <w:pPr>
        <w:spacing w:after="0" w:line="17" w:lineRule="exact"/>
        <w:rPr>
          <w:rFonts w:ascii="Times New Roman" w:cs="Times New Roman" w:eastAsia="Times New Roman" w:hAnsi="Times New Roman"/>
          <w:sz w:val="22"/>
          <w:szCs w:val="22"/>
          <w:color w:val="auto"/>
        </w:rPr>
      </w:pPr>
    </w:p>
    <w:p>
      <w:pPr>
        <w:ind w:left="992" w:hanging="344"/>
        <w:spacing w:after="0"/>
        <w:tabs>
          <w:tab w:leader="none" w:pos="99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Sky Ski Patrol Building</w:t>
      </w:r>
    </w:p>
    <w:p>
      <w:pPr>
        <w:spacing w:after="0" w:line="275" w:lineRule="exact"/>
        <w:rPr>
          <w:sz w:val="20"/>
          <w:szCs w:val="20"/>
          <w:color w:val="auto"/>
        </w:rPr>
      </w:pPr>
    </w:p>
    <w:p>
      <w:pPr>
        <w:ind w:left="1052" w:hanging="404"/>
        <w:spacing w:after="0"/>
        <w:tabs>
          <w:tab w:leader="none" w:pos="1052"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Snowmaking lines</w:t>
      </w:r>
    </w:p>
    <w:p>
      <w:pPr>
        <w:spacing w:after="0" w:line="29" w:lineRule="exact"/>
        <w:rPr>
          <w:rFonts w:ascii="Times New Roman" w:cs="Times New Roman" w:eastAsia="Times New Roman" w:hAnsi="Times New Roman"/>
          <w:sz w:val="22"/>
          <w:szCs w:val="22"/>
          <w:color w:val="auto"/>
        </w:rPr>
      </w:pPr>
    </w:p>
    <w:p>
      <w:pPr>
        <w:ind w:left="992" w:hanging="344"/>
        <w:spacing w:after="0"/>
        <w:tabs>
          <w:tab w:leader="none" w:pos="992"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Holding tanks and sewer lines</w:t>
      </w:r>
    </w:p>
    <w:p>
      <w:pPr>
        <w:spacing w:after="0" w:line="17" w:lineRule="exact"/>
        <w:rPr>
          <w:rFonts w:ascii="Times New Roman" w:cs="Times New Roman" w:eastAsia="Times New Roman" w:hAnsi="Times New Roman"/>
          <w:sz w:val="22"/>
          <w:szCs w:val="22"/>
          <w:color w:val="auto"/>
        </w:rPr>
      </w:pPr>
    </w:p>
    <w:p>
      <w:pPr>
        <w:ind w:left="992" w:hanging="344"/>
        <w:spacing w:after="0"/>
        <w:tabs>
          <w:tab w:leader="none" w:pos="992"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Fuel Storage and Fueling site</w:t>
      </w:r>
    </w:p>
    <w:p>
      <w:pPr>
        <w:spacing w:after="0" w:line="17" w:lineRule="exact"/>
        <w:rPr>
          <w:rFonts w:ascii="Times New Roman" w:cs="Times New Roman" w:eastAsia="Times New Roman" w:hAnsi="Times New Roman"/>
          <w:sz w:val="22"/>
          <w:szCs w:val="22"/>
          <w:color w:val="auto"/>
        </w:rPr>
      </w:pPr>
    </w:p>
    <w:p>
      <w:pPr>
        <w:ind w:left="992" w:hanging="344"/>
        <w:spacing w:after="0"/>
        <w:tabs>
          <w:tab w:leader="none" w:pos="992"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Power and phone lines</w:t>
      </w:r>
    </w:p>
    <w:p>
      <w:pPr>
        <w:spacing w:after="0" w:line="17" w:lineRule="exact"/>
        <w:rPr>
          <w:rFonts w:ascii="Times New Roman" w:cs="Times New Roman" w:eastAsia="Times New Roman" w:hAnsi="Times New Roman"/>
          <w:sz w:val="22"/>
          <w:szCs w:val="22"/>
          <w:color w:val="auto"/>
        </w:rPr>
      </w:pPr>
    </w:p>
    <w:p>
      <w:pPr>
        <w:ind w:left="992" w:hanging="344"/>
        <w:spacing w:after="0"/>
        <w:tabs>
          <w:tab w:leader="none" w:pos="992"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Gondola Mid Station Deck</w:t>
      </w:r>
    </w:p>
    <w:p>
      <w:pPr>
        <w:spacing w:after="0" w:line="17" w:lineRule="exact"/>
        <w:rPr>
          <w:rFonts w:ascii="Times New Roman" w:cs="Times New Roman" w:eastAsia="Times New Roman" w:hAnsi="Times New Roman"/>
          <w:sz w:val="22"/>
          <w:szCs w:val="22"/>
          <w:color w:val="auto"/>
        </w:rPr>
      </w:pPr>
    </w:p>
    <w:p>
      <w:pPr>
        <w:ind w:left="952" w:hanging="304"/>
        <w:spacing w:after="0"/>
        <w:tabs>
          <w:tab w:leader="none" w:pos="952"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Sewer lines - Sky to STPUD</w:t>
      </w:r>
    </w:p>
    <w:p>
      <w:pPr>
        <w:spacing w:after="0" w:line="17" w:lineRule="exact"/>
        <w:rPr>
          <w:rFonts w:ascii="Times New Roman" w:cs="Times New Roman" w:eastAsia="Times New Roman" w:hAnsi="Times New Roman"/>
          <w:sz w:val="22"/>
          <w:szCs w:val="22"/>
          <w:color w:val="auto"/>
        </w:rPr>
      </w:pPr>
    </w:p>
    <w:p>
      <w:pPr>
        <w:ind w:left="972" w:hanging="324"/>
        <w:spacing w:after="0"/>
        <w:tabs>
          <w:tab w:leader="none" w:pos="972"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Gondola Pump House</w:t>
      </w:r>
    </w:p>
    <w:p>
      <w:pPr>
        <w:spacing w:after="0" w:line="17" w:lineRule="exact"/>
        <w:rPr>
          <w:rFonts w:ascii="Times New Roman" w:cs="Times New Roman" w:eastAsia="Times New Roman" w:hAnsi="Times New Roman"/>
          <w:sz w:val="22"/>
          <w:szCs w:val="22"/>
          <w:color w:val="auto"/>
        </w:rPr>
      </w:pPr>
    </w:p>
    <w:p>
      <w:pPr>
        <w:ind w:left="952" w:hanging="304"/>
        <w:spacing w:after="0"/>
        <w:tabs>
          <w:tab w:leader="none" w:pos="952"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Water storage and transmission system (base of Sky Express)</w:t>
      </w:r>
    </w:p>
    <w:p>
      <w:pPr>
        <w:spacing w:after="0" w:line="17" w:lineRule="exact"/>
        <w:rPr>
          <w:rFonts w:ascii="Times New Roman" w:cs="Times New Roman" w:eastAsia="Times New Roman" w:hAnsi="Times New Roman"/>
          <w:sz w:val="22"/>
          <w:szCs w:val="22"/>
          <w:color w:val="auto"/>
        </w:rPr>
      </w:pPr>
    </w:p>
    <w:p>
      <w:pPr>
        <w:ind w:left="992" w:hanging="344"/>
        <w:spacing w:after="0"/>
        <w:tabs>
          <w:tab w:leader="none" w:pos="992"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Well location NW ‘A, NE ‘A, of Section 1, T.12N., R.18E., MDBM</w:t>
      </w:r>
    </w:p>
    <w:p>
      <w:pPr>
        <w:spacing w:after="0" w:line="17" w:lineRule="exact"/>
        <w:rPr>
          <w:rFonts w:ascii="Times New Roman" w:cs="Times New Roman" w:eastAsia="Times New Roman" w:hAnsi="Times New Roman"/>
          <w:sz w:val="22"/>
          <w:szCs w:val="22"/>
          <w:color w:val="auto"/>
        </w:rPr>
      </w:pPr>
    </w:p>
    <w:p>
      <w:pPr>
        <w:ind w:left="972" w:hanging="324"/>
        <w:spacing w:after="0"/>
        <w:tabs>
          <w:tab w:leader="none" w:pos="972"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Water supply and transmission system Top of Tram</w:t>
      </w:r>
    </w:p>
    <w:p>
      <w:pPr>
        <w:spacing w:after="0" w:line="17" w:lineRule="exact"/>
        <w:rPr>
          <w:rFonts w:ascii="Times New Roman" w:cs="Times New Roman" w:eastAsia="Times New Roman" w:hAnsi="Times New Roman"/>
          <w:sz w:val="22"/>
          <w:szCs w:val="22"/>
          <w:color w:val="auto"/>
        </w:rPr>
      </w:pPr>
    </w:p>
    <w:p>
      <w:pPr>
        <w:ind w:left="1032" w:hanging="384"/>
        <w:spacing w:after="0"/>
        <w:tabs>
          <w:tab w:leader="none" w:pos="1032"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Pump house Pistol Corner</w:t>
      </w:r>
    </w:p>
    <w:p>
      <w:pPr>
        <w:spacing w:after="0" w:line="17" w:lineRule="exact"/>
        <w:rPr>
          <w:rFonts w:ascii="Times New Roman" w:cs="Times New Roman" w:eastAsia="Times New Roman" w:hAnsi="Times New Roman"/>
          <w:sz w:val="22"/>
          <w:szCs w:val="22"/>
          <w:color w:val="auto"/>
        </w:rPr>
      </w:pPr>
    </w:p>
    <w:p>
      <w:pPr>
        <w:ind w:left="992" w:hanging="344"/>
        <w:spacing w:after="0"/>
        <w:tabs>
          <w:tab w:leader="none" w:pos="992"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Well (1) located in SW ‘A, NE’ , of Section 1, T.12N., R.18E., MDBM</w:t>
      </w:r>
    </w:p>
    <w:p>
      <w:pPr>
        <w:spacing w:after="0" w:line="261" w:lineRule="exact"/>
        <w:rPr>
          <w:rFonts w:ascii="Times New Roman" w:cs="Times New Roman" w:eastAsia="Times New Roman" w:hAnsi="Times New Roman"/>
          <w:sz w:val="22"/>
          <w:szCs w:val="22"/>
          <w:color w:val="auto"/>
        </w:rPr>
      </w:pPr>
    </w:p>
    <w:p>
      <w:pPr>
        <w:ind w:left="352" w:hanging="352"/>
        <w:spacing w:after="0"/>
        <w:tabs>
          <w:tab w:leader="none" w:pos="352"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Buildings and Improvements in Nevada</w:t>
      </w:r>
    </w:p>
    <w:p>
      <w:pPr>
        <w:spacing w:after="0" w:line="273" w:lineRule="exact"/>
        <w:rPr>
          <w:rFonts w:ascii="Times New Roman" w:cs="Times New Roman" w:eastAsia="Times New Roman" w:hAnsi="Times New Roman"/>
          <w:sz w:val="22"/>
          <w:szCs w:val="22"/>
          <w:color w:val="auto"/>
        </w:rPr>
      </w:pPr>
    </w:p>
    <w:p>
      <w:pPr>
        <w:ind w:left="972" w:hanging="324"/>
        <w:spacing w:after="0"/>
        <w:tabs>
          <w:tab w:leader="none" w:pos="972"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East Peak Lodge</w:t>
      </w:r>
    </w:p>
    <w:p>
      <w:pPr>
        <w:spacing w:after="0" w:line="29" w:lineRule="exact"/>
        <w:rPr>
          <w:rFonts w:ascii="Times New Roman" w:cs="Times New Roman" w:eastAsia="Times New Roman" w:hAnsi="Times New Roman"/>
          <w:sz w:val="22"/>
          <w:szCs w:val="22"/>
          <w:color w:val="auto"/>
        </w:rPr>
      </w:pPr>
    </w:p>
    <w:p>
      <w:pPr>
        <w:ind w:left="992" w:hanging="344"/>
        <w:spacing w:after="0"/>
        <w:tabs>
          <w:tab w:leader="none" w:pos="992"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East Peak Patrol and Radio Facility</w:t>
      </w:r>
    </w:p>
    <w:p>
      <w:pPr>
        <w:spacing w:after="0" w:line="17" w:lineRule="exact"/>
        <w:rPr>
          <w:rFonts w:ascii="Times New Roman" w:cs="Times New Roman" w:eastAsia="Times New Roman" w:hAnsi="Times New Roman"/>
          <w:sz w:val="22"/>
          <w:szCs w:val="22"/>
          <w:color w:val="auto"/>
        </w:rPr>
      </w:pPr>
    </w:p>
    <w:p>
      <w:pPr>
        <w:ind w:left="972" w:hanging="324"/>
        <w:spacing w:after="0"/>
        <w:tabs>
          <w:tab w:leader="none" w:pos="972"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Von Schmidt’s Water storage tank and transmission</w:t>
      </w:r>
    </w:p>
    <w:p>
      <w:pPr>
        <w:spacing w:after="0" w:line="17" w:lineRule="exact"/>
        <w:rPr>
          <w:rFonts w:ascii="Times New Roman" w:cs="Times New Roman" w:eastAsia="Times New Roman" w:hAnsi="Times New Roman"/>
          <w:sz w:val="22"/>
          <w:szCs w:val="22"/>
          <w:color w:val="auto"/>
        </w:rPr>
      </w:pPr>
    </w:p>
    <w:p>
      <w:pPr>
        <w:ind w:left="992" w:hanging="344"/>
        <w:spacing w:after="0"/>
        <w:tabs>
          <w:tab w:leader="none" w:pos="992"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Dipper Patrol Hut</w:t>
      </w:r>
    </w:p>
    <w:p>
      <w:pPr>
        <w:spacing w:after="0" w:line="17" w:lineRule="exact"/>
        <w:rPr>
          <w:rFonts w:ascii="Times New Roman" w:cs="Times New Roman" w:eastAsia="Times New Roman" w:hAnsi="Times New Roman"/>
          <w:sz w:val="22"/>
          <w:szCs w:val="22"/>
          <w:color w:val="auto"/>
        </w:rPr>
      </w:pPr>
    </w:p>
    <w:p>
      <w:pPr>
        <w:ind w:left="1032" w:hanging="384"/>
        <w:spacing w:after="0"/>
        <w:tabs>
          <w:tab w:leader="none" w:pos="1032"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East Peak Deck and Food Service</w:t>
      </w:r>
    </w:p>
    <w:p>
      <w:pPr>
        <w:spacing w:after="0" w:line="17" w:lineRule="exact"/>
        <w:rPr>
          <w:rFonts w:ascii="Times New Roman" w:cs="Times New Roman" w:eastAsia="Times New Roman" w:hAnsi="Times New Roman"/>
          <w:sz w:val="22"/>
          <w:szCs w:val="22"/>
          <w:color w:val="auto"/>
        </w:rPr>
      </w:pPr>
    </w:p>
    <w:p>
      <w:pPr>
        <w:ind w:left="952" w:hanging="304"/>
        <w:spacing w:after="0"/>
        <w:tabs>
          <w:tab w:leader="none" w:pos="952"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Timing Building Olympic Downhill</w:t>
      </w:r>
    </w:p>
    <w:p>
      <w:pPr>
        <w:spacing w:after="0" w:line="17" w:lineRule="exact"/>
        <w:rPr>
          <w:rFonts w:ascii="Times New Roman" w:cs="Times New Roman" w:eastAsia="Times New Roman" w:hAnsi="Times New Roman"/>
          <w:sz w:val="22"/>
          <w:szCs w:val="22"/>
          <w:color w:val="auto"/>
        </w:rPr>
      </w:pPr>
    </w:p>
    <w:p>
      <w:pPr>
        <w:ind w:left="992" w:hanging="344"/>
        <w:spacing w:after="0"/>
        <w:tabs>
          <w:tab w:leader="none" w:pos="992"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Snowmaking It Holding tanks and sewer lines</w:t>
      </w:r>
    </w:p>
    <w:p>
      <w:pPr>
        <w:spacing w:after="0" w:line="17" w:lineRule="exact"/>
        <w:rPr>
          <w:sz w:val="20"/>
          <w:szCs w:val="20"/>
          <w:color w:val="auto"/>
        </w:rPr>
      </w:pPr>
    </w:p>
    <w:p>
      <w:pPr>
        <w:ind w:left="952" w:hanging="304"/>
        <w:spacing w:after="0"/>
        <w:tabs>
          <w:tab w:leader="none" w:pos="95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Fuel Storage Tanks/Fueling (100 Dollar Saddle)</w:t>
      </w:r>
    </w:p>
    <w:p>
      <w:pPr>
        <w:spacing w:after="0" w:line="17" w:lineRule="exact"/>
        <w:rPr>
          <w:rFonts w:ascii="Times New Roman" w:cs="Times New Roman" w:eastAsia="Times New Roman" w:hAnsi="Times New Roman"/>
          <w:sz w:val="22"/>
          <w:szCs w:val="22"/>
          <w:color w:val="auto"/>
        </w:rPr>
      </w:pPr>
    </w:p>
    <w:p>
      <w:pPr>
        <w:ind w:left="952" w:hanging="304"/>
        <w:spacing w:after="0"/>
        <w:tabs>
          <w:tab w:leader="none" w:pos="95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Heavenly Sign corner of Jack’s and S. Benjamin</w:t>
      </w:r>
    </w:p>
    <w:p>
      <w:pPr>
        <w:spacing w:after="0" w:line="17" w:lineRule="exact"/>
        <w:rPr>
          <w:rFonts w:ascii="Times New Roman" w:cs="Times New Roman" w:eastAsia="Times New Roman" w:hAnsi="Times New Roman"/>
          <w:sz w:val="22"/>
          <w:szCs w:val="22"/>
          <w:color w:val="auto"/>
        </w:rPr>
      </w:pPr>
    </w:p>
    <w:p>
      <w:pPr>
        <w:ind w:left="992" w:hanging="344"/>
        <w:spacing w:after="0"/>
        <w:tabs>
          <w:tab w:leader="none" w:pos="99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Power and phone lines</w:t>
      </w:r>
    </w:p>
    <w:p>
      <w:pPr>
        <w:spacing w:after="0" w:line="17" w:lineRule="exact"/>
        <w:rPr>
          <w:sz w:val="20"/>
          <w:szCs w:val="20"/>
          <w:color w:val="auto"/>
        </w:rPr>
      </w:pPr>
    </w:p>
    <w:p>
      <w:pPr>
        <w:ind w:left="652"/>
        <w:spacing w:after="0"/>
        <w:tabs>
          <w:tab w:leader="none" w:pos="972" w:val="left"/>
        </w:tabs>
        <w:rPr>
          <w:sz w:val="20"/>
          <w:szCs w:val="20"/>
          <w:color w:val="auto"/>
        </w:rPr>
      </w:pPr>
      <w:r>
        <w:rPr>
          <w:rFonts w:ascii="Times New Roman" w:cs="Times New Roman" w:eastAsia="Times New Roman" w:hAnsi="Times New Roman"/>
          <w:sz w:val="22"/>
          <w:szCs w:val="22"/>
          <w:color w:val="auto"/>
        </w:rPr>
        <w:t>1.</w:t>
      </w:r>
      <w:r>
        <w:rPr>
          <w:sz w:val="20"/>
          <w:szCs w:val="20"/>
          <w:color w:val="auto"/>
        </w:rPr>
        <w:tab/>
      </w:r>
      <w:r>
        <w:rPr>
          <w:rFonts w:ascii="Times New Roman" w:cs="Times New Roman" w:eastAsia="Times New Roman" w:hAnsi="Times New Roman"/>
          <w:sz w:val="21"/>
          <w:szCs w:val="21"/>
          <w:color w:val="auto"/>
        </w:rPr>
        <w:t>Supplemental Septic system - East Peak Lodge</w:t>
      </w:r>
    </w:p>
    <w:p>
      <w:pPr>
        <w:spacing w:after="0" w:line="17" w:lineRule="exact"/>
        <w:rPr>
          <w:sz w:val="20"/>
          <w:szCs w:val="20"/>
          <w:color w:val="auto"/>
        </w:rPr>
      </w:pPr>
    </w:p>
    <w:p>
      <w:pPr>
        <w:ind w:left="1052" w:hanging="404"/>
        <w:spacing w:after="0"/>
        <w:tabs>
          <w:tab w:leader="none" w:pos="1052"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Water system East Peak Lodge</w:t>
      </w:r>
    </w:p>
    <w:p>
      <w:pPr>
        <w:spacing w:after="0" w:line="17" w:lineRule="exact"/>
        <w:rPr>
          <w:rFonts w:ascii="Times New Roman" w:cs="Times New Roman" w:eastAsia="Times New Roman" w:hAnsi="Times New Roman"/>
          <w:sz w:val="22"/>
          <w:szCs w:val="22"/>
          <w:color w:val="auto"/>
        </w:rPr>
      </w:pPr>
    </w:p>
    <w:p>
      <w:pPr>
        <w:ind w:left="992" w:hanging="344"/>
        <w:spacing w:after="0"/>
        <w:tabs>
          <w:tab w:leader="none" w:pos="992"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Heli-spots (as identified in operations plan)</w:t>
      </w:r>
    </w:p>
    <w:p>
      <w:pPr>
        <w:spacing w:after="0" w:line="17" w:lineRule="exact"/>
        <w:rPr>
          <w:rFonts w:ascii="Times New Roman" w:cs="Times New Roman" w:eastAsia="Times New Roman" w:hAnsi="Times New Roman"/>
          <w:sz w:val="22"/>
          <w:szCs w:val="22"/>
          <w:color w:val="auto"/>
        </w:rPr>
      </w:pPr>
    </w:p>
    <w:p>
      <w:pPr>
        <w:ind w:left="992" w:hanging="344"/>
        <w:spacing w:after="0"/>
        <w:tabs>
          <w:tab w:leader="none" w:pos="992"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East Peak Dam and Reservoir</w:t>
      </w:r>
    </w:p>
    <w:p>
      <w:pPr>
        <w:sectPr>
          <w:pgSz w:w="11900" w:h="16838" w:orient="portrait"/>
          <w:cols w:equalWidth="0" w:num="1">
            <w:col w:w="11312"/>
          </w:cols>
          <w:pgMar w:left="248" w:top="585" w:right="339" w:bottom="1440" w:gutter="0" w:footer="0" w:header="0"/>
        </w:sectPr>
      </w:pPr>
    </w:p>
    <w:bookmarkStart w:id="128" w:name="page129"/>
    <w:bookmarkEnd w:id="128"/>
    <w:p>
      <w:pPr>
        <w:ind w:left="660"/>
        <w:spacing w:after="0"/>
        <w:tabs>
          <w:tab w:leader="none" w:pos="980" w:val="left"/>
        </w:tabs>
        <w:rPr>
          <w:sz w:val="20"/>
          <w:szCs w:val="20"/>
          <w:color w:val="auto"/>
        </w:rPr>
      </w:pPr>
      <w:r>
        <w:rPr>
          <w:rFonts w:ascii="Times New Roman" w:cs="Times New Roman" w:eastAsia="Times New Roman" w:hAnsi="Times New Roman"/>
          <w:sz w:val="22"/>
          <w:szCs w:val="22"/>
          <w:color w:val="auto"/>
        </w:rPr>
        <w:t>1.</w:t>
      </w:r>
      <w:r>
        <w:rPr>
          <w:sz w:val="20"/>
          <w:szCs w:val="20"/>
          <w:color w:val="auto"/>
        </w:rPr>
        <w:tab/>
      </w:r>
      <w:r>
        <w:rPr>
          <w:rFonts w:ascii="Times New Roman" w:cs="Times New Roman" w:eastAsia="Times New Roman" w:hAnsi="Times New Roman"/>
          <w:sz w:val="21"/>
          <w:szCs w:val="21"/>
          <w:color w:val="auto"/>
        </w:rPr>
        <w:t>Water Rights Permits #45348 for a Domestic well, 58345 and #50525 for snowmaking and erosion control.</w:t>
      </w:r>
    </w:p>
    <w:p>
      <w:pPr>
        <w:spacing w:after="0" w:line="30" w:lineRule="exact"/>
        <w:rPr>
          <w:sz w:val="20"/>
          <w:szCs w:val="20"/>
          <w:color w:val="auto"/>
        </w:rPr>
      </w:pPr>
    </w:p>
    <w:p>
      <w:pPr>
        <w:ind w:left="1000" w:hanging="344"/>
        <w:spacing w:after="0"/>
        <w:tabs>
          <w:tab w:leader="none" w:pos="100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East Peak Lake Pump House</w:t>
      </w:r>
    </w:p>
    <w:p>
      <w:pPr>
        <w:spacing w:after="0" w:line="17" w:lineRule="exact"/>
        <w:rPr>
          <w:rFonts w:ascii="Times New Roman" w:cs="Times New Roman" w:eastAsia="Times New Roman" w:hAnsi="Times New Roman"/>
          <w:sz w:val="22"/>
          <w:szCs w:val="22"/>
          <w:color w:val="auto"/>
        </w:rPr>
      </w:pPr>
    </w:p>
    <w:p>
      <w:pPr>
        <w:ind w:left="1000" w:hanging="344"/>
        <w:spacing w:after="0"/>
        <w:tabs>
          <w:tab w:leader="none" w:pos="100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Well Permit #’s 35556, 5436</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(Private) - indicates facilities that are located solely on private land</w:t>
      </w:r>
    </w:p>
    <w:p>
      <w:pPr>
        <w:sectPr>
          <w:pgSz w:w="11900" w:h="16838" w:orient="portrait"/>
          <w:cols w:equalWidth="0" w:num="1">
            <w:col w:w="10260"/>
          </w:cols>
          <w:pgMar w:left="240" w:top="585" w:right="1399" w:bottom="1440" w:gutter="0" w:footer="0" w:header="0"/>
        </w:sectPr>
      </w:pPr>
    </w:p>
    <w:bookmarkStart w:id="129" w:name="page130"/>
    <w:bookmarkEnd w:id="129"/>
    <w:p>
      <w:pPr>
        <w:ind w:left="40"/>
        <w:spacing w:after="0"/>
        <w:rPr>
          <w:sz w:val="20"/>
          <w:szCs w:val="20"/>
          <w:color w:val="auto"/>
        </w:rPr>
      </w:pPr>
      <w:r>
        <w:rPr>
          <w:rFonts w:ascii="Times New Roman" w:cs="Times New Roman" w:eastAsia="Times New Roman" w:hAnsi="Times New Roman"/>
          <w:sz w:val="17"/>
          <w:szCs w:val="17"/>
          <w:color w:val="auto"/>
        </w:rPr>
        <w:t>Authorization ID: ELD508901</w:t>
      </w:r>
    </w:p>
    <w:p>
      <w:pPr>
        <w:spacing w:after="0" w:line="20" w:lineRule="exact"/>
        <w:rPr>
          <w:sz w:val="20"/>
          <w:szCs w:val="20"/>
          <w:color w:val="auto"/>
        </w:rPr>
      </w:pPr>
      <w:r>
        <w:rPr>
          <w:sz w:val="20"/>
          <w:szCs w:val="20"/>
          <w:color w:val="auto"/>
        </w:rPr>
        <w:br w:type="column"/>
      </w:r>
    </w:p>
    <w:p>
      <w:pPr>
        <w:jc w:val="center"/>
        <w:ind w:right="3680"/>
        <w:spacing w:after="0"/>
        <w:rPr>
          <w:sz w:val="20"/>
          <w:szCs w:val="20"/>
          <w:color w:val="auto"/>
        </w:rPr>
      </w:pPr>
      <w:r>
        <w:rPr>
          <w:rFonts w:ascii="Times New Roman" w:cs="Times New Roman" w:eastAsia="Times New Roman" w:hAnsi="Times New Roman"/>
          <w:sz w:val="17"/>
          <w:szCs w:val="17"/>
          <w:color w:val="auto"/>
        </w:rPr>
        <w:t>FS-2700-23 (4/97)</w:t>
      </w:r>
    </w:p>
    <w:p>
      <w:pPr>
        <w:spacing w:after="0" w:line="75" w:lineRule="exact"/>
        <w:rPr>
          <w:sz w:val="20"/>
          <w:szCs w:val="20"/>
          <w:color w:val="auto"/>
        </w:rPr>
      </w:pPr>
    </w:p>
    <w:p>
      <w:pPr>
        <w:sectPr>
          <w:pgSz w:w="11900" w:h="16838" w:orient="portrait"/>
          <w:cols w:equalWidth="0" w:num="2">
            <w:col w:w="5600" w:space="720"/>
            <w:col w:w="5020"/>
          </w:cols>
          <w:pgMar w:left="240" w:top="742" w:right="319" w:bottom="1440" w:gutter="0" w:footer="0" w:header="0"/>
        </w:sectPr>
      </w:pPr>
    </w:p>
    <w:p>
      <w:pPr>
        <w:ind w:left="40"/>
        <w:spacing w:after="0"/>
        <w:rPr>
          <w:sz w:val="20"/>
          <w:szCs w:val="20"/>
          <w:color w:val="auto"/>
        </w:rPr>
      </w:pPr>
      <w:r>
        <w:rPr>
          <w:rFonts w:ascii="Times New Roman" w:cs="Times New Roman" w:eastAsia="Times New Roman" w:hAnsi="Times New Roman"/>
          <w:sz w:val="17"/>
          <w:szCs w:val="17"/>
          <w:color w:val="auto"/>
        </w:rPr>
        <w:t>Contact ID: HEAVENLY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0MB 0596-0082</w:t>
      </w:r>
    </w:p>
    <w:p>
      <w:pPr>
        <w:spacing w:after="0" w:line="63" w:lineRule="exact"/>
        <w:rPr>
          <w:sz w:val="20"/>
          <w:szCs w:val="20"/>
          <w:color w:val="auto"/>
        </w:rPr>
      </w:pPr>
    </w:p>
    <w:p>
      <w:pPr>
        <w:sectPr>
          <w:pgSz w:w="11900" w:h="16838" w:orient="portrait"/>
          <w:cols w:equalWidth="0" w:num="2">
            <w:col w:w="5600" w:space="720"/>
            <w:col w:w="5020"/>
          </w:cols>
          <w:pgMar w:left="240" w:top="742"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color w:val="auto"/>
        </w:rPr>
        <w:t>Use Code: 161</w:t>
      </w:r>
    </w:p>
    <w:p>
      <w:pPr>
        <w:spacing w:after="0" w:line="2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U.S. DEPARTMENT OF AGRICULTURE</w:t>
      </w:r>
    </w:p>
    <w:p>
      <w:pPr>
        <w:spacing w:after="0" w:line="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Forest Service</w:t>
      </w:r>
    </w:p>
    <w:p>
      <w:pPr>
        <w:spacing w:after="0" w:line="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AMENDMENT FOR</w:t>
      </w:r>
    </w:p>
    <w:p>
      <w:pPr>
        <w:spacing w:after="0" w:line="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SPECIAL USE AUTHORIZATION</w:t>
      </w:r>
    </w:p>
    <w:p>
      <w:pPr>
        <w:spacing w:after="0" w:line="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AMENDMENT NUMBER 1</w:t>
      </w:r>
    </w:p>
    <w:p>
      <w:pPr>
        <w:sectPr>
          <w:pgSz w:w="11900" w:h="16838" w:orient="portrait"/>
          <w:cols w:equalWidth="0" w:num="1">
            <w:col w:w="11340"/>
          </w:cols>
          <w:pgMar w:left="240" w:top="742" w:right="319" w:bottom="1440" w:gutter="0" w:footer="0" w:header="0"/>
          <w:type w:val="continuous"/>
        </w:sectPr>
      </w:pPr>
    </w:p>
    <w:p>
      <w:pPr>
        <w:spacing w:after="0" w:line="196"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This amendment is attached to and made a part of the special use authorization (identified above) issued to HEAVENLY VALLEY, LIMITED PARTNERSHIP on 05/07/2002 which is hereby amended as follows: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Remove the following clauses:</w:t>
      </w:r>
    </w:p>
    <w:p>
      <w:pPr>
        <w:spacing w:after="0" w:line="26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2"/>
          <w:szCs w:val="22"/>
          <w:color w:val="auto"/>
        </w:rPr>
        <w:t>III. F.</w:t>
      </w:r>
      <w:r>
        <w:rPr>
          <w:sz w:val="20"/>
          <w:szCs w:val="20"/>
          <w:color w:val="auto"/>
        </w:rPr>
        <w:tab/>
      </w:r>
      <w:r>
        <w:rPr>
          <w:rFonts w:ascii="Times New Roman" w:cs="Times New Roman" w:eastAsia="Times New Roman" w:hAnsi="Times New Roman"/>
          <w:sz w:val="21"/>
          <w:szCs w:val="21"/>
          <w:color w:val="auto"/>
        </w:rPr>
        <w:t>Temporary Suspension</w:t>
      </w:r>
    </w:p>
    <w:p>
      <w:pPr>
        <w:spacing w:after="0" w:line="3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2"/>
          <w:szCs w:val="22"/>
          <w:color w:val="auto"/>
        </w:rPr>
        <w:t>VI. A.</w:t>
      </w:r>
      <w:r>
        <w:rPr>
          <w:sz w:val="20"/>
          <w:szCs w:val="20"/>
          <w:color w:val="auto"/>
        </w:rPr>
        <w:tab/>
      </w:r>
      <w:r>
        <w:rPr>
          <w:rFonts w:ascii="Times New Roman" w:cs="Times New Roman" w:eastAsia="Times New Roman" w:hAnsi="Times New Roman"/>
          <w:sz w:val="21"/>
          <w:szCs w:val="21"/>
          <w:color w:val="auto"/>
        </w:rPr>
        <w:t>Termination for Higher Public Purpose</w:t>
      </w:r>
    </w:p>
    <w:p>
      <w:pPr>
        <w:spacing w:after="0" w:line="1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2"/>
          <w:szCs w:val="22"/>
          <w:color w:val="auto"/>
        </w:rPr>
        <w:t>VIII, B.</w:t>
      </w:r>
      <w:r>
        <w:rPr>
          <w:sz w:val="20"/>
          <w:szCs w:val="20"/>
          <w:color w:val="auto"/>
        </w:rPr>
        <w:tab/>
      </w:r>
      <w:r>
        <w:rPr>
          <w:rFonts w:ascii="Times New Roman" w:cs="Times New Roman" w:eastAsia="Times New Roman" w:hAnsi="Times New Roman"/>
          <w:sz w:val="21"/>
          <w:szCs w:val="21"/>
          <w:color w:val="auto"/>
        </w:rPr>
        <w:t>Termination, Revocation and Suspension</w:t>
      </w:r>
    </w:p>
    <w:p>
      <w:pPr>
        <w:spacing w:after="0" w:line="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2"/>
          <w:szCs w:val="22"/>
          <w:color w:val="auto"/>
        </w:rPr>
        <w:t>Xl. F.</w:t>
      </w:r>
      <w:r>
        <w:rPr>
          <w:sz w:val="20"/>
          <w:szCs w:val="20"/>
          <w:color w:val="auto"/>
        </w:rPr>
        <w:tab/>
      </w:r>
      <w:r>
        <w:rPr>
          <w:rFonts w:ascii="Times New Roman" w:cs="Times New Roman" w:eastAsia="Times New Roman" w:hAnsi="Times New Roman"/>
          <w:sz w:val="21"/>
          <w:szCs w:val="21"/>
          <w:color w:val="auto"/>
        </w:rPr>
        <w:t>Water Rights.</w:t>
      </w:r>
    </w:p>
    <w:p>
      <w:pPr>
        <w:spacing w:after="0" w:line="22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2"/>
          <w:szCs w:val="22"/>
          <w:color w:val="auto"/>
        </w:rPr>
        <w:t>Revise the heading of section VIII. TERMINATION to read REVOCATION AND SUSPENSION. In section VIII, add clauses A. Revocation and Suspension, B. Opportunity to Take Corrective Action, C. Revocation for Reasons in the Public Interest, and D. Suspension below:</w:t>
      </w:r>
    </w:p>
    <w:p>
      <w:pPr>
        <w:ind w:left="400" w:hanging="392"/>
        <w:spacing w:after="0"/>
        <w:tabs>
          <w:tab w:leader="none" w:pos="40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Revocation and Suspension. The Forest Service may suspend or revoke this permit in whole or part:</w:t>
      </w:r>
    </w:p>
    <w:p>
      <w:pPr>
        <w:spacing w:after="0" w:line="249" w:lineRule="exact"/>
        <w:rPr>
          <w:rFonts w:ascii="Times New Roman" w:cs="Times New Roman" w:eastAsia="Times New Roman" w:hAnsi="Times New Roman"/>
          <w:sz w:val="22"/>
          <w:szCs w:val="22"/>
          <w:color w:val="auto"/>
        </w:rPr>
      </w:pPr>
    </w:p>
    <w:p>
      <w:pPr>
        <w:ind w:left="1000" w:hanging="344"/>
        <w:spacing w:after="0"/>
        <w:tabs>
          <w:tab w:leader="none" w:pos="1000"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noncompliance with Federal, State, or local laws and regulations;</w:t>
      </w:r>
    </w:p>
    <w:p>
      <w:pPr>
        <w:spacing w:after="0" w:line="29" w:lineRule="exact"/>
        <w:rPr>
          <w:rFonts w:ascii="Times New Roman" w:cs="Times New Roman" w:eastAsia="Times New Roman" w:hAnsi="Times New Roman"/>
          <w:sz w:val="22"/>
          <w:szCs w:val="22"/>
          <w:color w:val="auto"/>
        </w:rPr>
      </w:pPr>
    </w:p>
    <w:p>
      <w:pPr>
        <w:ind w:left="1000" w:hanging="344"/>
        <w:spacing w:after="0"/>
        <w:tabs>
          <w:tab w:leader="none" w:pos="1000"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noncompliance with the terms of this permit;</w:t>
      </w:r>
    </w:p>
    <w:p>
      <w:pPr>
        <w:spacing w:after="0" w:line="17" w:lineRule="exact"/>
        <w:rPr>
          <w:rFonts w:ascii="Times New Roman" w:cs="Times New Roman" w:eastAsia="Times New Roman" w:hAnsi="Times New Roman"/>
          <w:sz w:val="22"/>
          <w:szCs w:val="22"/>
          <w:color w:val="auto"/>
        </w:rPr>
      </w:pPr>
    </w:p>
    <w:p>
      <w:pPr>
        <w:ind w:left="1000" w:hanging="344"/>
        <w:spacing w:after="0"/>
        <w:tabs>
          <w:tab w:leader="none" w:pos="1000"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failure of the holder to exercise the privileges granted by this permit;</w:t>
      </w:r>
    </w:p>
    <w:p>
      <w:pPr>
        <w:spacing w:after="0" w:line="17" w:lineRule="exact"/>
        <w:rPr>
          <w:rFonts w:ascii="Times New Roman" w:cs="Times New Roman" w:eastAsia="Times New Roman" w:hAnsi="Times New Roman"/>
          <w:sz w:val="22"/>
          <w:szCs w:val="22"/>
          <w:color w:val="auto"/>
        </w:rPr>
      </w:pPr>
    </w:p>
    <w:p>
      <w:pPr>
        <w:ind w:left="1000" w:hanging="344"/>
        <w:spacing w:after="0"/>
        <w:tabs>
          <w:tab w:leader="none" w:pos="1000"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the consent of the holder; or</w:t>
      </w:r>
    </w:p>
    <w:p>
      <w:pPr>
        <w:spacing w:after="0" w:line="17" w:lineRule="exact"/>
        <w:rPr>
          <w:rFonts w:ascii="Times New Roman" w:cs="Times New Roman" w:eastAsia="Times New Roman" w:hAnsi="Times New Roman"/>
          <w:sz w:val="22"/>
          <w:szCs w:val="22"/>
          <w:color w:val="auto"/>
        </w:rPr>
      </w:pPr>
    </w:p>
    <w:p>
      <w:pPr>
        <w:ind w:left="1020" w:hanging="364"/>
        <w:spacing w:after="0"/>
        <w:tabs>
          <w:tab w:leader="none" w:pos="1020"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discretion of the authorized officer for specific and compelling reasons in the public interest.</w:t>
      </w:r>
    </w:p>
    <w:p>
      <w:pPr>
        <w:spacing w:after="0" w:line="207" w:lineRule="exact"/>
        <w:rPr>
          <w:rFonts w:ascii="Times New Roman" w:cs="Times New Roman" w:eastAsia="Times New Roman" w:hAnsi="Times New Roman"/>
          <w:sz w:val="22"/>
          <w:szCs w:val="22"/>
          <w:color w:val="auto"/>
        </w:rPr>
      </w:pPr>
    </w:p>
    <w:p>
      <w:pPr>
        <w:ind w:firstLine="8"/>
        <w:spacing w:after="0" w:line="263" w:lineRule="auto"/>
        <w:tabs>
          <w:tab w:leader="none" w:pos="378"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Opportunity to Take Corrective Action. Prior to revocation or suspension under clause VIII.A, the authorized officer shall give the holder written notice of the grounds for each action and a reasonable time, not to exceed 90 days, to complete the corrective action prescribed, by the authorized officer.</w:t>
      </w:r>
    </w:p>
    <w:p>
      <w:pPr>
        <w:spacing w:after="0" w:line="167" w:lineRule="exact"/>
        <w:rPr>
          <w:rFonts w:ascii="Times New Roman" w:cs="Times New Roman" w:eastAsia="Times New Roman" w:hAnsi="Times New Roman"/>
          <w:sz w:val="22"/>
          <w:szCs w:val="22"/>
          <w:color w:val="auto"/>
        </w:rPr>
      </w:pPr>
    </w:p>
    <w:p>
      <w:pPr>
        <w:ind w:right="20" w:firstLine="8"/>
        <w:spacing w:after="0" w:line="250" w:lineRule="auto"/>
        <w:tabs>
          <w:tab w:leader="none" w:pos="378"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Revocation for Reasons in the Public Interest. If, during the term of this permit or any extension’ thereof, the Secretary of Agriculture or any official of the Forest Service with delegated authority determines in planning for the uses of the National Forest System that the public interest requires revocation of this permit, this permit shall be revoked after one hundred-eighty (180) day’s written notice to the holder. The United States shall then have the right to purchase the, holders Improvements, to remove them, or to require the holder to remove them, and the United States shall be obligated to pay an equitable consideration for the improvements or for removal of the improvements and damages resulting from their removal. If the amount of consideration is fixed by mutual agreement between the United States and the holder, that amount shall be accepted</w:t>
      </w:r>
    </w:p>
    <w:p>
      <w:pPr>
        <w:sectPr>
          <w:pgSz w:w="11900" w:h="16838" w:orient="portrait"/>
          <w:cols w:equalWidth="0" w:num="1">
            <w:col w:w="11340"/>
          </w:cols>
          <w:pgMar w:left="240" w:top="742" w:right="319" w:bottom="1440" w:gutter="0" w:footer="0" w:header="0"/>
          <w:type w:val="continuous"/>
        </w:sectPr>
      </w:pPr>
    </w:p>
    <w:bookmarkStart w:id="130" w:name="page131"/>
    <w:bookmarkEnd w:id="130"/>
    <w:p>
      <w:pPr>
        <w:jc w:val="both"/>
        <w:ind w:right="240"/>
        <w:spacing w:after="0" w:line="257" w:lineRule="auto"/>
        <w:rPr>
          <w:sz w:val="20"/>
          <w:szCs w:val="20"/>
          <w:color w:val="auto"/>
        </w:rPr>
      </w:pPr>
      <w:r>
        <w:rPr>
          <w:rFonts w:ascii="Times New Roman" w:cs="Times New Roman" w:eastAsia="Times New Roman" w:hAnsi="Times New Roman"/>
          <w:sz w:val="22"/>
          <w:szCs w:val="22"/>
          <w:color w:val="auto"/>
        </w:rPr>
        <w:t>by the holder in full satisfaction of all claims against the United States under this clause. If mutual agreement is not reached, the Forest Service shall determine the amount of consideration. If the holder is dissatisfied with the amount determined by the Forest Service, the holder may appeal the determination under the agency’s administrative appeal regulations.</w:t>
      </w:r>
    </w:p>
    <w:p>
      <w:pPr>
        <w:spacing w:after="0" w:line="173" w:lineRule="exact"/>
        <w:rPr>
          <w:sz w:val="20"/>
          <w:szCs w:val="20"/>
          <w:color w:val="auto"/>
        </w:rPr>
      </w:pPr>
    </w:p>
    <w:p>
      <w:pPr>
        <w:ind w:right="60" w:firstLine="8"/>
        <w:spacing w:after="0" w:line="257" w:lineRule="auto"/>
        <w:tabs>
          <w:tab w:leader="none" w:pos="39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Suspension. The authorized officer may immediately suspend this permit, in whole or in part, when necessary to protect public health safety or the environment. The suspension decision must be in writing. Within 48 hours of the request of the holder, the superior of the authorized officer shall arrange for an on-the-ground review of the adverse conditions with the holder. Following this review the superior shall take prompt action to affirm, modify, or cancel the suspension.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Under section XI. MISCELLANEOUS PROVISIONS, revise the heading for clause F. Water Rights to read Water Use Facilities.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Replace the existing clause with the clause below:</w:t>
      </w:r>
    </w:p>
    <w:p>
      <w:pPr>
        <w:spacing w:after="0" w:line="19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1"/>
          <w:szCs w:val="21"/>
          <w:color w:val="auto"/>
        </w:rPr>
        <w:t>Water Use Facilities.</w:t>
      </w:r>
    </w:p>
    <w:p>
      <w:pPr>
        <w:spacing w:after="0" w:line="233" w:lineRule="exact"/>
        <w:rPr>
          <w:sz w:val="20"/>
          <w:szCs w:val="20"/>
          <w:color w:val="auto"/>
        </w:rPr>
      </w:pPr>
    </w:p>
    <w:p>
      <w:pPr>
        <w:ind w:right="80" w:firstLine="8"/>
        <w:spacing w:after="0" w:line="248" w:lineRule="auto"/>
        <w:tabs>
          <w:tab w:leader="none" w:pos="342"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Water Use Facilities. The National Forest System (NFS) land which is the subject of this permit is hereinafter referred to as the permitted NFS land. The authorization of facilities to divert, store, or convey water on the permitted National Forest System (NFS) land (water facilities) in conjunction with water rights acquired by the holder is for the purpose of operating a winter or year-round resort and related facilities under this permit. If use of the water or the water facilities ceases, the authorization to use the permitted NFS land for such water facilities will also cease. The United States reserves the right to place conditions on the installation, operation and maintenance and removal of these water facilities necessary to protect public property, public safety, and natural resources on the permitted NFS land in compliance with applicable laws, provided, however, such conditions shall not permit the Imposition of bypass flows on water transported to the permitted NFS land from points of diversion of storage that arise off of the permitted NFS land.</w:t>
      </w:r>
    </w:p>
    <w:p>
      <w:pPr>
        <w:spacing w:after="0" w:line="186" w:lineRule="exact"/>
        <w:rPr>
          <w:rFonts w:ascii="Times New Roman" w:cs="Times New Roman" w:eastAsia="Times New Roman" w:hAnsi="Times New Roman"/>
          <w:sz w:val="22"/>
          <w:szCs w:val="22"/>
          <w:color w:val="auto"/>
        </w:rPr>
      </w:pPr>
    </w:p>
    <w:p>
      <w:pPr>
        <w:ind w:right="380" w:firstLine="8"/>
        <w:spacing w:after="0" w:line="284" w:lineRule="auto"/>
        <w:tabs>
          <w:tab w:leader="none" w:pos="342"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Water Rights. This permit does not confer any water rights on the holder. Water rights must be acquired by the holder under state law.</w:t>
      </w:r>
    </w:p>
    <w:p>
      <w:pPr>
        <w:spacing w:after="0" w:line="144" w:lineRule="exact"/>
        <w:rPr>
          <w:rFonts w:ascii="Times New Roman" w:cs="Times New Roman" w:eastAsia="Times New Roman" w:hAnsi="Times New Roman"/>
          <w:sz w:val="22"/>
          <w:szCs w:val="22"/>
          <w:color w:val="auto"/>
        </w:rPr>
      </w:pPr>
    </w:p>
    <w:p>
      <w:pPr>
        <w:ind w:right="20" w:firstLine="8"/>
        <w:spacing w:after="0" w:line="249" w:lineRule="auto"/>
        <w:tabs>
          <w:tab w:leader="none" w:pos="342"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Future Applications and Revocation. After June 2004, any right to divert water from the permitted NFS land where the use of such water is on the same permitted NFS land shall be applied for and held in the name of the United States and the holder (hereinafter called the joint water rights). This provision shall not apply to water rights that are acquired by the permit holder from a source off of the permitted NFS land and transferred to a point of diversion or storage on the permitted NFS land. During the term of the permit and any reissuance thereafter, the permit holder shall be responsible for maintaining such joint water rights, and shall have the right to make any applications or other filings as may be necessary to maintain and protect such joint water rights. In the event of revocation of this permit, the United States shall succeed to the sole ownership of such joint water rights. All joint water rights subject to this clause are listed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 ID#</w:t>
            </w:r>
          </w:p>
        </w:tc>
        <w:tc>
          <w:tcPr>
            <w:tcW w:w="27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Owner</w:t>
            </w:r>
          </w:p>
        </w:tc>
        <w:tc>
          <w:tcPr>
            <w:tcW w:w="31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Type or Basis</w:t>
            </w:r>
          </w:p>
        </w:tc>
        <w:tc>
          <w:tcPr>
            <w:tcW w:w="37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Purpose of Use</w:t>
            </w:r>
          </w:p>
        </w:tc>
      </w:tr>
      <w:tr>
        <w:trPr>
          <w:trHeight w:val="27"/>
        </w:trPr>
        <w:tc>
          <w:tcPr>
            <w:tcW w:w="18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None</w:t>
            </w:r>
          </w:p>
        </w:tc>
        <w:tc>
          <w:tcPr>
            <w:tcW w:w="27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760" w:type="dxa"/>
            <w:vAlign w:val="bottom"/>
          </w:tcPr>
          <w:p>
            <w:pPr>
              <w:spacing w:after="0"/>
              <w:rPr>
                <w:sz w:val="20"/>
                <w:szCs w:val="20"/>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amendment is accepted subject to the conditions set forth herein and to conditions _____ N/A _____ to _____ N/A 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attached hereto and made a part of the Amendment</w:t>
      </w:r>
    </w:p>
    <w:p>
      <w:pPr>
        <w:sectPr>
          <w:pgSz w:w="11900" w:h="16838" w:orient="portrait"/>
          <w:cols w:equalWidth="0" w:num="1">
            <w:col w:w="11420"/>
          </w:cols>
          <w:pgMar w:left="240" w:top="801" w:right="2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34"/>
        </w:trPr>
        <w:tc>
          <w:tcPr>
            <w:tcW w:w="5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Blaise Carrig</w:t>
            </w:r>
          </w:p>
        </w:tc>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Terri Marceron</w:t>
            </w:r>
          </w:p>
        </w:tc>
      </w:tr>
      <w:tr>
        <w:trPr>
          <w:trHeight w:val="27"/>
        </w:trPr>
        <w:tc>
          <w:tcPr>
            <w:tcW w:w="55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237"/>
        </w:trPr>
        <w:tc>
          <w:tcPr>
            <w:tcW w:w="582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(Holder Signature)</w:t>
            </w:r>
          </w:p>
        </w:tc>
        <w:tc>
          <w:tcPr>
            <w:tcW w:w="560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(Authorized Officer Signature)</w:t>
            </w:r>
          </w:p>
        </w:tc>
      </w:tr>
    </w:tbl>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Blaise Carrig, Chief Operating Officer</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5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VR HEAVENLY I, Inc., general partner</w:t>
            </w:r>
          </w:p>
        </w:tc>
        <w:tc>
          <w:tcPr>
            <w:tcW w:w="320" w:type="dxa"/>
            <w:vAlign w:val="bottom"/>
          </w:tcPr>
          <w:p>
            <w:pPr>
              <w:spacing w:after="0"/>
              <w:rPr>
                <w:sz w:val="24"/>
                <w:szCs w:val="24"/>
                <w:color w:val="auto"/>
              </w:rPr>
            </w:pPr>
          </w:p>
        </w:tc>
        <w:tc>
          <w:tcPr>
            <w:tcW w:w="5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TERRI MARCERON, LTBMU FOREST SUPERVISOR</w:t>
            </w:r>
          </w:p>
        </w:tc>
      </w:tr>
      <w:tr>
        <w:trPr>
          <w:trHeight w:val="243"/>
        </w:trPr>
        <w:tc>
          <w:tcPr>
            <w:tcW w:w="582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(Name and Title)</w:t>
            </w:r>
          </w:p>
        </w:tc>
        <w:tc>
          <w:tcPr>
            <w:tcW w:w="56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(Name and Title)</w:t>
            </w:r>
          </w:p>
        </w:tc>
      </w:tr>
      <w:tr>
        <w:trPr>
          <w:trHeight w:val="525"/>
        </w:trPr>
        <w:tc>
          <w:tcPr>
            <w:tcW w:w="5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HEAVENLY VALLEY LIMITED PARTNERSHIP,</w:t>
            </w:r>
          </w:p>
        </w:tc>
        <w:tc>
          <w:tcPr>
            <w:tcW w:w="5600" w:type="dxa"/>
            <w:vAlign w:val="bottom"/>
          </w:tcPr>
          <w:p>
            <w:pPr>
              <w:spacing w:after="0"/>
              <w:rPr>
                <w:sz w:val="24"/>
                <w:szCs w:val="24"/>
                <w:color w:val="auto"/>
              </w:rPr>
            </w:pPr>
          </w:p>
        </w:tc>
      </w:tr>
      <w:tr>
        <w:trPr>
          <w:trHeight w:val="459"/>
        </w:trPr>
        <w:tc>
          <w:tcPr>
            <w:tcW w:w="5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a Nevada limited partnership</w:t>
            </w:r>
          </w:p>
        </w:tc>
        <w:tc>
          <w:tcPr>
            <w:tcW w:w="5600" w:type="dxa"/>
            <w:vAlign w:val="bottom"/>
          </w:tcPr>
          <w:p>
            <w:pPr>
              <w:spacing w:after="0"/>
              <w:rPr>
                <w:sz w:val="24"/>
                <w:szCs w:val="24"/>
                <w:color w:val="auto"/>
              </w:rPr>
            </w:pPr>
          </w:p>
        </w:tc>
      </w:tr>
      <w:tr>
        <w:trPr>
          <w:trHeight w:val="258"/>
        </w:trPr>
        <w:tc>
          <w:tcPr>
            <w:tcW w:w="5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Date: 3/28/07</w:t>
            </w:r>
          </w:p>
        </w:tc>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 1/18/07</w:t>
            </w:r>
          </w:p>
        </w:tc>
      </w:tr>
    </w:tbl>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According to the Paperwork Reduction Act of 1995, an agency may not conduct or sponsor, and a person is not required to respond to a collection of information unless it displays a valid 0 MB control number. The valid OMB control number for this information collection is 0596-0082. The time required to complete this information collection is estimated to average 1 hour per response, including the time for reviewing instructions, searching existing data sources, gathering and -maintaining the data needed, and completing and reviewing the collection of Information.</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U.S. Department of Agriculture (USDA) prohibits discrimination in all its programs and activities on the basis of race, color, national origin, gender, religion, age, disability, political beliefs, sexual orientation, and marital or family status. (Not all prohibited bases apply to all programs.) Persons with disabilities who require alternative means for communication of program Information (Braille, large print, audiotape, etc.) should contact USDA’s TARGET Center at 202-720-2600 (voice and TDD).</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To file a complaint of discrimination, write USDA, Director, Office of Civil Rights, 1400 Independence Avenue, SW, Washington, DC 20250-9410 or call (800) 975-3272 (voice) or (202) 720-6382 (TDD). USDA is an equal opportunity provider and employer.</w:t>
      </w:r>
    </w:p>
    <w:p>
      <w:pPr>
        <w:spacing w:after="0" w:line="16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Privacy Act of 1974 (5 U.S.C. 552a) and the Freedom of information Act (5 U.S.C. 552) govern the confidentiality to be provided for information received by the Forest Service.</w:t>
      </w:r>
    </w:p>
    <w:p>
      <w:pPr>
        <w:sectPr>
          <w:pgSz w:w="11900" w:h="16838" w:orient="portrait"/>
          <w:cols w:equalWidth="0" w:num="1">
            <w:col w:w="11420"/>
          </w:cols>
          <w:pgMar w:left="240" w:top="742" w:right="239" w:bottom="1440" w:gutter="0" w:footer="0" w:header="0"/>
        </w:sectPr>
      </w:pPr>
    </w:p>
    <w:bookmarkStart w:id="132" w:name="page133"/>
    <w:bookmarkEnd w:id="132"/>
    <w:p>
      <w:pPr>
        <w:ind w:left="10620"/>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4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 xml:space="preserve">SUBSIDIARIES </w:t>
      </w:r>
      <w:r>
        <w:rPr>
          <w:rFonts w:ascii="Times New Roman" w:cs="Times New Roman" w:eastAsia="Times New Roman" w:hAnsi="Times New Roman"/>
          <w:sz w:val="28"/>
          <w:szCs w:val="28"/>
          <w:b w:val="1"/>
          <w:bCs w:val="1"/>
          <w:color w:val="auto"/>
          <w:vertAlign w:val="superscript"/>
        </w:rPr>
        <w:t>1</w:t>
      </w:r>
    </w:p>
    <w:p>
      <w:pPr>
        <w:spacing w:after="0" w:line="1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1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VAIL RESORTS, INC</w:t>
      </w:r>
      <w:r>
        <w:rPr>
          <w:rFonts w:ascii="Times New Roman" w:cs="Times New Roman" w:eastAsia="Times New Roman" w:hAnsi="Times New Roman"/>
          <w:sz w:val="22"/>
          <w:szCs w:val="22"/>
          <w:color w:val="auto"/>
        </w:rPr>
        <w:t>.</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4380" w:type="dxa"/>
            <w:vAlign w:val="bottom"/>
            <w:tcBorders>
              <w:top w:val="single" w:sz="8" w:color="auto"/>
              <w:left w:val="single" w:sz="8" w:color="auto"/>
              <w:right w:val="single" w:sz="8" w:color="auto"/>
            </w:tcBorders>
          </w:tcPr>
          <w:p>
            <w:pPr>
              <w:spacing w:after="0"/>
              <w:rPr>
                <w:sz w:val="19"/>
                <w:szCs w:val="19"/>
                <w:color w:val="auto"/>
              </w:rPr>
            </w:pPr>
          </w:p>
        </w:tc>
        <w:tc>
          <w:tcPr>
            <w:tcW w:w="2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6"/>
              </w:rPr>
              <w:t>STATE OF</w:t>
            </w:r>
          </w:p>
        </w:tc>
        <w:tc>
          <w:tcPr>
            <w:tcW w:w="4780" w:type="dxa"/>
            <w:vAlign w:val="bottom"/>
            <w:tcBorders>
              <w:top w:val="single" w:sz="8" w:color="auto"/>
              <w:right w:val="single" w:sz="8" w:color="auto"/>
            </w:tcBorders>
          </w:tcPr>
          <w:p>
            <w:pPr>
              <w:spacing w:after="0"/>
              <w:rPr>
                <w:sz w:val="19"/>
                <w:szCs w:val="19"/>
                <w:color w:val="auto"/>
              </w:rPr>
            </w:pPr>
          </w:p>
        </w:tc>
      </w:tr>
      <w:tr>
        <w:trPr>
          <w:trHeight w:val="216"/>
        </w:trPr>
        <w:tc>
          <w:tcPr>
            <w:tcW w:w="4380" w:type="dxa"/>
            <w:vAlign w:val="bottom"/>
            <w:tcBorders>
              <w:left w:val="single" w:sz="8" w:color="auto"/>
              <w:right w:val="single" w:sz="8" w:color="auto"/>
            </w:tcBorders>
          </w:tcPr>
          <w:p>
            <w:pPr>
              <w:ind w:left="40"/>
              <w:spacing w:after="0" w:line="216" w:lineRule="exact"/>
              <w:rPr>
                <w:sz w:val="20"/>
                <w:szCs w:val="20"/>
                <w:color w:val="auto"/>
              </w:rPr>
            </w:pPr>
            <w:r>
              <w:rPr>
                <w:rFonts w:ascii="Times New Roman" w:cs="Times New Roman" w:eastAsia="Times New Roman" w:hAnsi="Times New Roman"/>
                <w:sz w:val="19"/>
                <w:szCs w:val="19"/>
                <w:b w:val="1"/>
                <w:bCs w:val="1"/>
                <w:color w:val="auto"/>
              </w:rPr>
              <w:t>NAME</w:t>
            </w:r>
          </w:p>
        </w:tc>
        <w:tc>
          <w:tcPr>
            <w:tcW w:w="228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auto"/>
                <w:w w:val="98"/>
              </w:rPr>
              <w:t>INCORPORATION/</w:t>
            </w:r>
          </w:p>
        </w:tc>
        <w:tc>
          <w:tcPr>
            <w:tcW w:w="4780" w:type="dxa"/>
            <w:vAlign w:val="bottom"/>
            <w:tcBorders>
              <w:right w:val="single" w:sz="8" w:color="auto"/>
            </w:tcBorders>
          </w:tcPr>
          <w:p>
            <w:pPr>
              <w:ind w:left="20"/>
              <w:spacing w:after="0" w:line="216" w:lineRule="exact"/>
              <w:rPr>
                <w:sz w:val="20"/>
                <w:szCs w:val="20"/>
                <w:color w:val="auto"/>
              </w:rPr>
            </w:pPr>
            <w:r>
              <w:rPr>
                <w:rFonts w:ascii="Times New Roman" w:cs="Times New Roman" w:eastAsia="Times New Roman" w:hAnsi="Times New Roman"/>
                <w:sz w:val="19"/>
                <w:szCs w:val="19"/>
                <w:b w:val="1"/>
                <w:bCs w:val="1"/>
                <w:color w:val="auto"/>
              </w:rPr>
              <w:t>DOING BUSINESS AS</w:t>
            </w:r>
          </w:p>
        </w:tc>
      </w:tr>
      <w:tr>
        <w:trPr>
          <w:trHeight w:val="248"/>
        </w:trPr>
        <w:tc>
          <w:tcPr>
            <w:tcW w:w="438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FORMATION</w:t>
            </w:r>
          </w:p>
        </w:tc>
        <w:tc>
          <w:tcPr>
            <w:tcW w:w="4780" w:type="dxa"/>
            <w:vAlign w:val="bottom"/>
            <w:tcBorders>
              <w:right w:val="single" w:sz="8" w:color="auto"/>
            </w:tcBorders>
          </w:tcPr>
          <w:p>
            <w:pPr>
              <w:spacing w:after="0"/>
              <w:rPr>
                <w:sz w:val="21"/>
                <w:szCs w:val="21"/>
                <w:color w:val="auto"/>
              </w:rPr>
            </w:pPr>
          </w:p>
        </w:tc>
      </w:tr>
      <w:tr>
        <w:trPr>
          <w:trHeight w:val="25"/>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1089881 B.C. Ltd.</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British Columbia</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AFFINITY SNOWSPORTS INC.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British Columbia</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ALL MEDIA ASSOCIATES, INC.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California</w:t>
            </w: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MOUNTAIN NEWS CORPORATION</w:t>
            </w:r>
          </w:p>
        </w:tc>
      </w:tr>
      <w:tr>
        <w:trPr>
          <w:trHeight w:val="258"/>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MOUNTAIN NEWS</w:t>
            </w:r>
          </w:p>
        </w:tc>
      </w:tr>
      <w:tr>
        <w:trPr>
          <w:trHeight w:val="48"/>
        </w:trPr>
        <w:tc>
          <w:tcPr>
            <w:tcW w:w="4380" w:type="dxa"/>
            <w:vAlign w:val="bottom"/>
            <w:tcBorders>
              <w:left w:val="single" w:sz="8" w:color="auto"/>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ALL MEDIA HOLDINGS, INC.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ARRABELLE AT VAIL SQUARE, LLC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438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color w:val="auto"/>
              </w:rPr>
              <w:t>AVON PARTNERS II LIMITED LIABILITY</w:t>
            </w:r>
          </w:p>
        </w:tc>
        <w:tc>
          <w:tcPr>
            <w:tcW w:w="228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spacing w:after="0"/>
              <w:rPr>
                <w:sz w:val="19"/>
                <w:szCs w:val="19"/>
                <w:color w:val="auto"/>
              </w:rPr>
            </w:pPr>
          </w:p>
        </w:tc>
      </w:tr>
      <w:tr>
        <w:trPr>
          <w:trHeight w:val="258"/>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COMPANY</w:t>
            </w: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BCRP, INC.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BEAVER CREEK ASSOCIATES, INC.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BEANO AT BEAVER CREEK</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HAY MEADOW AT BEAVER CREEK</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LATIGO AT BEAVER CREEK</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MCCOY PARK AT BEAVER CREEK</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RED TAIL AT BEAVER CREEK</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SPRUCE SADDLE RESTAURANT</w:t>
            </w:r>
          </w:p>
        </w:tc>
      </w:tr>
      <w:tr>
        <w:trPr>
          <w:trHeight w:val="258"/>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STRAWBERRY PARK AT BEAVER CREEK</w:t>
            </w:r>
          </w:p>
        </w:tc>
      </w:tr>
      <w:tr>
        <w:trPr>
          <w:trHeight w:val="48"/>
        </w:trPr>
        <w:tc>
          <w:tcPr>
            <w:tcW w:w="4380" w:type="dxa"/>
            <w:vAlign w:val="bottom"/>
            <w:tcBorders>
              <w:left w:val="single" w:sz="8" w:color="auto"/>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BEAVER CREEK CONSULTANTS, INC.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BEAVER CREEK FOOD SERVICES, INC.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BACHELOR GULCH CLUB</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BEANO’S CABIN</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BEAVER CREPES AND COOKIES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CANDY CABIN</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GUNDER’S</w:t>
            </w:r>
          </w:p>
        </w:tc>
      </w:tr>
      <w:tr>
        <w:trPr>
          <w:trHeight w:val="258"/>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TALONS</w:t>
            </w:r>
          </w:p>
        </w:tc>
      </w:tr>
      <w:tr>
        <w:trPr>
          <w:trHeight w:val="48"/>
        </w:trPr>
        <w:tc>
          <w:tcPr>
            <w:tcW w:w="4380" w:type="dxa"/>
            <w:vAlign w:val="bottom"/>
            <w:tcBorders>
              <w:left w:val="single" w:sz="8" w:color="auto"/>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BLACK DIAMOND INSURANCE, INC.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Arizona</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438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color w:val="auto"/>
              </w:rPr>
              <w:t>BLACKCOMB MOUNTAIN DEVELOPMENT</w:t>
            </w:r>
          </w:p>
        </w:tc>
        <w:tc>
          <w:tcPr>
            <w:tcW w:w="228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8"/>
              </w:rPr>
              <w:t>British Columbia</w:t>
            </w:r>
          </w:p>
        </w:tc>
        <w:tc>
          <w:tcPr>
            <w:tcW w:w="4780" w:type="dxa"/>
            <w:vAlign w:val="bottom"/>
            <w:tcBorders>
              <w:right w:val="single" w:sz="8" w:color="auto"/>
            </w:tcBorders>
          </w:tcPr>
          <w:p>
            <w:pPr>
              <w:spacing w:after="0"/>
              <w:rPr>
                <w:sz w:val="19"/>
                <w:szCs w:val="19"/>
                <w:color w:val="auto"/>
              </w:rPr>
            </w:pPr>
          </w:p>
        </w:tc>
      </w:tr>
      <w:tr>
        <w:trPr>
          <w:trHeight w:val="258"/>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LTD.</w:t>
            </w: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438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color w:val="auto"/>
              </w:rPr>
              <w:t>BLACKCOMB SKIING ENTERPRISES LIMITED</w:t>
            </w:r>
          </w:p>
        </w:tc>
        <w:tc>
          <w:tcPr>
            <w:tcW w:w="228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8"/>
              </w:rPr>
              <w:t>British Columbia</w:t>
            </w:r>
          </w:p>
        </w:tc>
        <w:tc>
          <w:tcPr>
            <w:tcW w:w="4780" w:type="dxa"/>
            <w:vAlign w:val="bottom"/>
            <w:tcBorders>
              <w:right w:val="single" w:sz="8" w:color="auto"/>
            </w:tcBorders>
          </w:tcPr>
          <w:p>
            <w:pPr>
              <w:spacing w:after="0"/>
              <w:rPr>
                <w:sz w:val="19"/>
                <w:szCs w:val="19"/>
                <w:color w:val="auto"/>
              </w:rPr>
            </w:pPr>
          </w:p>
        </w:tc>
      </w:tr>
      <w:tr>
        <w:trPr>
          <w:trHeight w:val="258"/>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PARTNERSHIP</w:t>
            </w: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BLACKCOMB SKIING ENTERPRISES LTD.</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British Columbia</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BOOTH CREEK SKI HOLDINGS, INC.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BRECKENRIDGE RESORT PROPERTIES, INC.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BRECKENRIDGE RESORT PROPERTIES</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VAIL RESORTS PROPERTY</w:t>
            </w:r>
          </w:p>
        </w:tc>
      </w:tr>
      <w:tr>
        <w:trPr>
          <w:trHeight w:val="258"/>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MANAGEMENT</w:t>
            </w:r>
          </w:p>
        </w:tc>
      </w:tr>
      <w:tr>
        <w:trPr>
          <w:trHeight w:val="48"/>
        </w:trPr>
        <w:tc>
          <w:tcPr>
            <w:tcW w:w="4380" w:type="dxa"/>
            <w:vAlign w:val="bottom"/>
            <w:tcBorders>
              <w:left w:val="single" w:sz="8" w:color="auto"/>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BRECKENRIDGE TERRACE, LLC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438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color w:val="auto"/>
              </w:rPr>
              <w:t>COLORADO MOUNTAIN EXPRESS, INC. (F/K/A</w:t>
            </w:r>
          </w:p>
        </w:tc>
        <w:tc>
          <w:tcPr>
            <w:tcW w:w="228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ind w:left="20"/>
              <w:spacing w:after="0" w:line="228" w:lineRule="exact"/>
              <w:rPr>
                <w:sz w:val="20"/>
                <w:szCs w:val="20"/>
                <w:color w:val="auto"/>
              </w:rPr>
            </w:pPr>
            <w:r>
              <w:rPr>
                <w:rFonts w:ascii="Times New Roman" w:cs="Times New Roman" w:eastAsia="Times New Roman" w:hAnsi="Times New Roman"/>
                <w:sz w:val="20"/>
                <w:szCs w:val="20"/>
                <w:color w:val="auto"/>
              </w:rPr>
              <w:t>CME</w:t>
            </w:r>
          </w:p>
        </w:tc>
      </w:tr>
      <w:tr>
        <w:trPr>
          <w:trHeight w:val="257"/>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DELIVERY ACQUISITION, INC.)</w:t>
            </w: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CMECOUPONS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CMECOUPONS.COM</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CME DESTINATIONS WEST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CME PARTNERS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CME PREMIER</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COLORADO MOUNTAIN EXPRESS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DESTINATIONS WEST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PREMIER VIP TRANSPORTATION</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RESORT EXPRESS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ROCKY MOUNTAIN ART GUIDE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ROCKY MOUNTAIN DINING GUIDE</w:t>
            </w:r>
          </w:p>
        </w:tc>
      </w:tr>
      <w:tr>
        <w:trPr>
          <w:trHeight w:val="258"/>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SKIER'S CONNECTION</w:t>
            </w: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11440"/>
          </w:cols>
          <w:pgMar w:left="240" w:top="630" w:right="219" w:bottom="1130" w:gutter="0" w:footer="0" w:header="0"/>
        </w:sectPr>
      </w:pPr>
    </w:p>
    <w:bookmarkStart w:id="133" w:name="page134"/>
    <w:bookmarkEnd w:id="13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COLORADO MOUNTAIN EXPRESS, INC.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TRANSPORTATION MANAGEMENT</w:t>
            </w:r>
          </w:p>
        </w:tc>
      </w:tr>
      <w:tr>
        <w:trPr>
          <w:trHeight w:val="230"/>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(continued)</w:t>
            </w: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SYSTEMS</w:t>
            </w:r>
          </w:p>
        </w:tc>
      </w:tr>
      <w:tr>
        <w:trPr>
          <w:trHeight w:val="258"/>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WHEELS OF FORTUNE</w:t>
            </w:r>
          </w:p>
        </w:tc>
      </w:tr>
      <w:tr>
        <w:trPr>
          <w:trHeight w:val="48"/>
        </w:trPr>
        <w:tc>
          <w:tcPr>
            <w:tcW w:w="4380" w:type="dxa"/>
            <w:vAlign w:val="bottom"/>
            <w:tcBorders>
              <w:left w:val="single" w:sz="8" w:color="auto"/>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COLTER BAY CAFÉ COURT, LLC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Wyoming</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438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color w:val="auto"/>
              </w:rPr>
              <w:t>COLTER BAY CONVENIENCE</w:t>
            </w:r>
          </w:p>
        </w:tc>
        <w:tc>
          <w:tcPr>
            <w:tcW w:w="228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7"/>
              </w:rPr>
              <w:t>Wyoming</w:t>
            </w:r>
          </w:p>
        </w:tc>
        <w:tc>
          <w:tcPr>
            <w:tcW w:w="4780" w:type="dxa"/>
            <w:vAlign w:val="bottom"/>
            <w:tcBorders>
              <w:right w:val="single" w:sz="8" w:color="auto"/>
            </w:tcBorders>
          </w:tcPr>
          <w:p>
            <w:pPr>
              <w:spacing w:after="0"/>
              <w:rPr>
                <w:sz w:val="19"/>
                <w:szCs w:val="19"/>
                <w:color w:val="auto"/>
              </w:rPr>
            </w:pPr>
          </w:p>
        </w:tc>
      </w:tr>
      <w:tr>
        <w:trPr>
          <w:trHeight w:val="258"/>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STORE, LLC</w:t>
            </w: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COLTER BAY CORPORATION</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Wyoming</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COLTER BAY GENERAL STORE, LLC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Wyoming</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COLTER BAY MARINA, LLC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Wyoming</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CRANKWORX EVENTS INC.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British Columbia</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438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color w:val="auto"/>
              </w:rPr>
              <w:t>CRYSTAL PEAK LODGE OF BRECKENRIDGE,</w:t>
            </w:r>
          </w:p>
        </w:tc>
        <w:tc>
          <w:tcPr>
            <w:tcW w:w="228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ind w:left="20"/>
              <w:spacing w:after="0" w:line="228" w:lineRule="exact"/>
              <w:rPr>
                <w:sz w:val="20"/>
                <w:szCs w:val="20"/>
                <w:color w:val="auto"/>
              </w:rPr>
            </w:pPr>
            <w:r>
              <w:rPr>
                <w:rFonts w:ascii="Times New Roman" w:cs="Times New Roman" w:eastAsia="Times New Roman" w:hAnsi="Times New Roman"/>
                <w:sz w:val="20"/>
                <w:szCs w:val="20"/>
                <w:color w:val="auto"/>
              </w:rPr>
              <w:t>CRYSTAL PEAK LODGE</w:t>
            </w:r>
          </w:p>
        </w:tc>
      </w:tr>
      <w:tr>
        <w:trPr>
          <w:trHeight w:val="258"/>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INC.</w:t>
            </w: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83"/>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DTPC, LLC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DT PARK CITY HOTEL</w:t>
            </w:r>
          </w:p>
        </w:tc>
      </w:tr>
      <w:tr>
        <w:trPr>
          <w:trHeight w:val="284"/>
        </w:trPr>
        <w:tc>
          <w:tcPr>
            <w:tcW w:w="4380" w:type="dxa"/>
            <w:vAlign w:val="bottom"/>
            <w:tcBorders>
              <w:left w:val="single" w:sz="8" w:color="auto"/>
              <w:righ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INTELLIGENTSIA</w:t>
            </w:r>
          </w:p>
        </w:tc>
      </w:tr>
      <w:tr>
        <w:trPr>
          <w:trHeight w:val="284"/>
        </w:trPr>
        <w:tc>
          <w:tcPr>
            <w:tcW w:w="4380" w:type="dxa"/>
            <w:vAlign w:val="bottom"/>
            <w:tcBorders>
              <w:left w:val="single" w:sz="8" w:color="auto"/>
              <w:righ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ROOTS GRILL</w:t>
            </w:r>
          </w:p>
        </w:tc>
      </w:tr>
      <w:tr>
        <w:trPr>
          <w:trHeight w:val="284"/>
        </w:trPr>
        <w:tc>
          <w:tcPr>
            <w:tcW w:w="4380" w:type="dxa"/>
            <w:vAlign w:val="bottom"/>
            <w:tcBorders>
              <w:left w:val="single" w:sz="8" w:color="auto"/>
              <w:righ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VERTICAL LOUNGE</w:t>
            </w:r>
          </w:p>
        </w:tc>
      </w:tr>
      <w:tr>
        <w:trPr>
          <w:trHeight w:val="284"/>
        </w:trPr>
        <w:tc>
          <w:tcPr>
            <w:tcW w:w="4380" w:type="dxa"/>
            <w:vAlign w:val="bottom"/>
            <w:tcBorders>
              <w:left w:val="single" w:sz="8" w:color="auto"/>
              <w:righ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YARROW HOTEL</w:t>
            </w:r>
          </w:p>
        </w:tc>
      </w:tr>
      <w:tr>
        <w:trPr>
          <w:trHeight w:val="48"/>
        </w:trPr>
        <w:tc>
          <w:tcPr>
            <w:tcW w:w="4380" w:type="dxa"/>
            <w:vAlign w:val="bottom"/>
            <w:tcBorders>
              <w:left w:val="single" w:sz="8" w:color="auto"/>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EPICSKI, INC.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Montana</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EVER VAIL, LLC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FIRST CHAIR HOUSING TRUSTEE LLC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FLAGG RANCH COMPANY</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FOREST RIDGE HOLDINGS, INC.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GARIBALDI LIFTS LTD.</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British Columbia</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GILLETT BROADCASTING, INC.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GORE CREEK PLACE, LLC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GRAND TETON LODGE COMPANY</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Wyoming</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438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color w:val="auto"/>
              </w:rPr>
              <w:t>GREATER PARK CITY COMPANY</w:t>
            </w:r>
          </w:p>
        </w:tc>
        <w:tc>
          <w:tcPr>
            <w:tcW w:w="228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7"/>
              </w:rPr>
              <w:t>Utah</w:t>
            </w:r>
          </w:p>
        </w:tc>
        <w:tc>
          <w:tcPr>
            <w:tcW w:w="4780" w:type="dxa"/>
            <w:vAlign w:val="bottom"/>
            <w:tcBorders>
              <w:right w:val="single" w:sz="8" w:color="auto"/>
            </w:tcBorders>
          </w:tcPr>
          <w:p>
            <w:pPr>
              <w:ind w:left="20"/>
              <w:spacing w:after="0" w:line="228" w:lineRule="exact"/>
              <w:rPr>
                <w:sz w:val="20"/>
                <w:szCs w:val="20"/>
                <w:color w:val="auto"/>
              </w:rPr>
            </w:pPr>
            <w:r>
              <w:rPr>
                <w:rFonts w:ascii="Times New Roman" w:cs="Times New Roman" w:eastAsia="Times New Roman" w:hAnsi="Times New Roman"/>
                <w:sz w:val="20"/>
                <w:szCs w:val="20"/>
                <w:color w:val="auto"/>
              </w:rPr>
              <w:t>GREATER PARK CITY CORPORATION</w:t>
            </w:r>
          </w:p>
        </w:tc>
      </w:tr>
      <w:tr>
        <w:trPr>
          <w:trHeight w:val="258"/>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PARK CITY MOUNTAIN RESORT</w:t>
            </w: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GREATER PROPERTIES, INC.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GROS VENTRE UTILITY COMPANY</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Wyoming</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HEAVENLY VALLEY, LIMITED PARTNERSHIP</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BUB'S PUB</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EXPEDITION KIRKWOOD</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HEAVENLY MOUNTAIN RESORT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KIRKWOOD</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KIRKWOOD CENTRAL RESERVATIONS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KIRKWOOD GENERAL STORE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KIRKWOOD INN</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KIRKWOOD MOUNTAIN OUTFITTERS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KIRKWOOD MOUNTAIN RESORT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KIRKWOOD RESORT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KIRKWOOD SERVICE CENTER</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KIRKWOOD SKI AND SUMMER RESORT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KIRKWOOD SKI RESORT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KIRKWOOD TOUR CENTER</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MONTE WOLFS MOUNTAIN KITCHEN</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OFF THE WALL BAR AND GRILL</w:t>
            </w:r>
          </w:p>
        </w:tc>
      </w:tr>
      <w:tr>
        <w:trPr>
          <w:trHeight w:val="258"/>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TIMBER CREEK</w:t>
            </w:r>
          </w:p>
        </w:tc>
      </w:tr>
      <w:tr>
        <w:trPr>
          <w:trHeight w:val="278"/>
        </w:trPr>
        <w:tc>
          <w:tcPr>
            <w:tcW w:w="438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4780" w:type="dxa"/>
            <w:vAlign w:val="bottom"/>
            <w:tcBorders>
              <w:bottom w:val="single" w:sz="8" w:color="auto"/>
              <w:right w:val="single" w:sz="8" w:color="auto"/>
            </w:tcBorders>
          </w:tcPr>
          <w:p>
            <w:pPr>
              <w:spacing w:after="0"/>
              <w:rPr>
                <w:sz w:val="24"/>
                <w:szCs w:val="24"/>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HPK,LLC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HUNKIDORI LAND COMPANY, LLC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HVLP KIRKWOOD SERVICES, LLC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California</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438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color w:val="auto"/>
              </w:rPr>
              <w:t>JACKSON HOLE GOLF AND TENNIS CLUB,</w:t>
            </w:r>
          </w:p>
        </w:tc>
        <w:tc>
          <w:tcPr>
            <w:tcW w:w="228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7"/>
              </w:rPr>
              <w:t>Wyoming</w:t>
            </w:r>
          </w:p>
        </w:tc>
        <w:tc>
          <w:tcPr>
            <w:tcW w:w="4780" w:type="dxa"/>
            <w:vAlign w:val="bottom"/>
            <w:tcBorders>
              <w:right w:val="single" w:sz="8" w:color="auto"/>
            </w:tcBorders>
          </w:tcPr>
          <w:p>
            <w:pPr>
              <w:spacing w:after="0"/>
              <w:rPr>
                <w:sz w:val="19"/>
                <w:szCs w:val="19"/>
                <w:color w:val="auto"/>
              </w:rPr>
            </w:pPr>
          </w:p>
        </w:tc>
      </w:tr>
      <w:tr>
        <w:trPr>
          <w:trHeight w:val="258"/>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INC.</w:t>
            </w: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438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color w:val="auto"/>
              </w:rPr>
              <w:t>JACKSON HOLE GOLF AND TENNIS CLUB</w:t>
            </w:r>
          </w:p>
        </w:tc>
        <w:tc>
          <w:tcPr>
            <w:tcW w:w="228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7"/>
              </w:rPr>
              <w:t>Wyoming</w:t>
            </w:r>
          </w:p>
        </w:tc>
        <w:tc>
          <w:tcPr>
            <w:tcW w:w="4780" w:type="dxa"/>
            <w:vAlign w:val="bottom"/>
            <w:tcBorders>
              <w:right w:val="single" w:sz="8" w:color="auto"/>
            </w:tcBorders>
          </w:tcPr>
          <w:p>
            <w:pPr>
              <w:spacing w:after="0"/>
              <w:rPr>
                <w:sz w:val="19"/>
                <w:szCs w:val="19"/>
                <w:color w:val="auto"/>
              </w:rPr>
            </w:pPr>
          </w:p>
        </w:tc>
      </w:tr>
      <w:tr>
        <w:trPr>
          <w:trHeight w:val="258"/>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SNACK SHACK, LLC</w:t>
            </w: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11440"/>
          </w:cols>
          <w:pgMar w:left="240" w:top="734" w:right="219" w:bottom="738" w:gutter="0" w:footer="0" w:header="0"/>
        </w:sectPr>
      </w:pPr>
    </w:p>
    <w:bookmarkStart w:id="134" w:name="page135"/>
    <w:bookmarkEnd w:id="13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43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JACKSON LAKE LODGE CORPORATION</w:t>
            </w:r>
          </w:p>
        </w:tc>
        <w:tc>
          <w:tcPr>
            <w:tcW w:w="2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Wyoming</w:t>
            </w:r>
          </w:p>
        </w:tc>
        <w:tc>
          <w:tcPr>
            <w:tcW w:w="4780" w:type="dxa"/>
            <w:vAlign w:val="bottom"/>
            <w:tcBorders>
              <w:top w:val="single" w:sz="8" w:color="auto"/>
              <w:right w:val="single" w:sz="8" w:color="auto"/>
            </w:tcBorders>
          </w:tcPr>
          <w:p>
            <w:pPr>
              <w:spacing w:after="0"/>
              <w:rPr>
                <w:sz w:val="24"/>
                <w:szCs w:val="24"/>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JENNY LAKE LODGE, INC.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Wyoming</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JENNY LAKE STORE, LLC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Wyoming</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JHL&amp;S LLC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Wyoming</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KEYSTONE CONFERENCE SERVICES, INC.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KEYSTONE DEVELOPMENT SALES, INC.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w w:val="99"/>
              </w:rPr>
              <w:t>KEYSTONE FOOD AND BEVERAGE COMPANY</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9280'</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ALPENTOP DELI</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DERCUM SQUARE ICE RINK</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KEYSTONE CORPORATE CENTER  CORPORATION</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KEYSTONE LODGE &amp; SPA</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MINER’S CART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ONE SKI HILL PLACE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PIONEER CROSSING</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SNOW DRIFTER</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THE CROW'S NEST</w:t>
            </w:r>
          </w:p>
        </w:tc>
      </w:tr>
      <w:tr>
        <w:trPr>
          <w:trHeight w:val="258"/>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THE OVERLOOK</w:t>
            </w:r>
          </w:p>
        </w:tc>
      </w:tr>
      <w:tr>
        <w:trPr>
          <w:trHeight w:val="48"/>
        </w:trPr>
        <w:tc>
          <w:tcPr>
            <w:tcW w:w="4380" w:type="dxa"/>
            <w:vAlign w:val="bottom"/>
            <w:tcBorders>
              <w:left w:val="single" w:sz="8" w:color="auto"/>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r>
      <w:tr>
        <w:trPr>
          <w:trHeight w:val="227"/>
        </w:trPr>
        <w:tc>
          <w:tcPr>
            <w:tcW w:w="438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color w:val="auto"/>
              </w:rPr>
              <w:t>KEYSTONE RESORT PROPERTY</w:t>
            </w:r>
          </w:p>
        </w:tc>
        <w:tc>
          <w:tcPr>
            <w:tcW w:w="228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ind w:left="20"/>
              <w:spacing w:after="0" w:line="228" w:lineRule="exact"/>
              <w:rPr>
                <w:sz w:val="20"/>
                <w:szCs w:val="20"/>
                <w:color w:val="auto"/>
              </w:rPr>
            </w:pPr>
            <w:r>
              <w:rPr>
                <w:rFonts w:ascii="Times New Roman" w:cs="Times New Roman" w:eastAsia="Times New Roman" w:hAnsi="Times New Roman"/>
                <w:sz w:val="20"/>
                <w:szCs w:val="20"/>
                <w:color w:val="auto"/>
              </w:rPr>
              <w:t>KEYSTONE CENTRAL RESERVATIONS</w:t>
            </w:r>
          </w:p>
        </w:tc>
      </w:tr>
      <w:tr>
        <w:trPr>
          <w:trHeight w:val="257"/>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MANAGEMENT COMPANY</w:t>
            </w: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KEYSTONE MOUNTAIN RESERVATIONS</w:t>
            </w:r>
          </w:p>
        </w:tc>
      </w:tr>
      <w:tr>
        <w:trPr>
          <w:trHeight w:val="258"/>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KEYSTONE PROPERTY MANAGEMENT</w:t>
            </w:r>
          </w:p>
        </w:tc>
      </w:tr>
      <w:tr>
        <w:trPr>
          <w:trHeight w:val="48"/>
        </w:trPr>
        <w:tc>
          <w:tcPr>
            <w:tcW w:w="4380" w:type="dxa"/>
            <w:vAlign w:val="bottom"/>
            <w:tcBorders>
              <w:left w:val="single" w:sz="8" w:color="auto"/>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r>
      <w:tr>
        <w:trPr>
          <w:trHeight w:val="227"/>
        </w:trPr>
        <w:tc>
          <w:tcPr>
            <w:tcW w:w="438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color w:val="auto"/>
              </w:rPr>
              <w:t>KEYSTONE/INTRAWEST, LLC</w:t>
            </w:r>
          </w:p>
        </w:tc>
        <w:tc>
          <w:tcPr>
            <w:tcW w:w="228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Delaware</w:t>
            </w:r>
          </w:p>
        </w:tc>
        <w:tc>
          <w:tcPr>
            <w:tcW w:w="4780" w:type="dxa"/>
            <w:vAlign w:val="bottom"/>
            <w:tcBorders>
              <w:right w:val="single" w:sz="8" w:color="auto"/>
            </w:tcBorders>
          </w:tcPr>
          <w:p>
            <w:pPr>
              <w:ind w:left="20"/>
              <w:spacing w:after="0" w:line="228" w:lineRule="exact"/>
              <w:rPr>
                <w:sz w:val="20"/>
                <w:szCs w:val="20"/>
                <w:color w:val="auto"/>
              </w:rPr>
            </w:pPr>
            <w:r>
              <w:rPr>
                <w:rFonts w:ascii="Times New Roman" w:cs="Times New Roman" w:eastAsia="Times New Roman" w:hAnsi="Times New Roman"/>
                <w:sz w:val="20"/>
                <w:szCs w:val="20"/>
                <w:color w:val="auto"/>
              </w:rPr>
              <w:t>KEYSTONE REAL ESTATE</w:t>
            </w:r>
          </w:p>
        </w:tc>
      </w:tr>
      <w:tr>
        <w:trPr>
          <w:trHeight w:val="258"/>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DEVELOPMENTS</w:t>
            </w: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KEYSTONE/INTRAWEST REAL ESTATE, LLC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LA POSADA BEVERAGE SERVICE, LLC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LAKE TAHOE LODGING COMPANY</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ACCOMMODATION STATION</w:t>
            </w:r>
          </w:p>
        </w:tc>
      </w:tr>
      <w:tr>
        <w:trPr>
          <w:trHeight w:val="258"/>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TAHOE LODGING</w:t>
            </w:r>
          </w:p>
        </w:tc>
      </w:tr>
      <w:tr>
        <w:trPr>
          <w:trHeight w:val="48"/>
        </w:trPr>
        <w:tc>
          <w:tcPr>
            <w:tcW w:w="4380" w:type="dxa"/>
            <w:vAlign w:val="bottom"/>
            <w:tcBorders>
              <w:left w:val="single" w:sz="8" w:color="auto"/>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LARKSPUR RESTAURANT &amp; BAR, LLC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LODGE PROPERTIES, INC.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THE LODGE AT VAIL</w:t>
            </w: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LODGE REALTY, INC.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MOUNTAIN NEWS GMBH</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Germany</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MOUNTAIN THUNDER, INC.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NATIONAL PARK HOSPITALITY COMPANY</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438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color w:val="auto"/>
              </w:rPr>
              <w:t>NORTHSTAR GROUP COMMERCIAL</w:t>
            </w:r>
          </w:p>
        </w:tc>
        <w:tc>
          <w:tcPr>
            <w:tcW w:w="228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Delaware</w:t>
            </w:r>
          </w:p>
        </w:tc>
        <w:tc>
          <w:tcPr>
            <w:tcW w:w="4780" w:type="dxa"/>
            <w:vAlign w:val="bottom"/>
            <w:tcBorders>
              <w:right w:val="single" w:sz="8" w:color="auto"/>
            </w:tcBorders>
          </w:tcPr>
          <w:p>
            <w:pPr>
              <w:spacing w:after="0"/>
              <w:rPr>
                <w:sz w:val="19"/>
                <w:szCs w:val="19"/>
                <w:color w:val="auto"/>
              </w:rPr>
            </w:pPr>
          </w:p>
        </w:tc>
      </w:tr>
      <w:tr>
        <w:trPr>
          <w:trHeight w:val="258"/>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PROPERTIES, LLC</w:t>
            </w: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438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color w:val="auto"/>
              </w:rPr>
              <w:t>NORTHSTAR GROUP RESTAURANT</w:t>
            </w:r>
          </w:p>
        </w:tc>
        <w:tc>
          <w:tcPr>
            <w:tcW w:w="228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Delaware</w:t>
            </w:r>
          </w:p>
        </w:tc>
        <w:tc>
          <w:tcPr>
            <w:tcW w:w="4780" w:type="dxa"/>
            <w:vAlign w:val="bottom"/>
            <w:tcBorders>
              <w:right w:val="single" w:sz="8" w:color="auto"/>
            </w:tcBorders>
          </w:tcPr>
          <w:p>
            <w:pPr>
              <w:spacing w:after="0"/>
              <w:rPr>
                <w:sz w:val="19"/>
                <w:szCs w:val="19"/>
                <w:color w:val="auto"/>
              </w:rPr>
            </w:pPr>
          </w:p>
        </w:tc>
      </w:tr>
      <w:tr>
        <w:trPr>
          <w:trHeight w:val="258"/>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PROPERTIES, LLC</w:t>
            </w: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ONE RIVER RUN, LLC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ONE SKI HILL PLACE, LLC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PARK PROPERTIES, INC.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PEAK TO CREEK HOLDINGS CORP.</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British Columbia</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PEAK TO CREEK LODGING COMPANY LTD.</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British Columbia</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PERISHER BLUE PTY LIMITED</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Australia</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438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color w:val="auto"/>
              </w:rPr>
              <w:t>PROPERTY MANAGEMENT ACQUISITION</w:t>
            </w:r>
          </w:p>
        </w:tc>
        <w:tc>
          <w:tcPr>
            <w:tcW w:w="228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8"/>
              </w:rPr>
              <w:t>Tennessee</w:t>
            </w:r>
          </w:p>
        </w:tc>
        <w:tc>
          <w:tcPr>
            <w:tcW w:w="4780" w:type="dxa"/>
            <w:vAlign w:val="bottom"/>
            <w:tcBorders>
              <w:right w:val="single" w:sz="8" w:color="auto"/>
            </w:tcBorders>
          </w:tcPr>
          <w:p>
            <w:pPr>
              <w:ind w:left="20"/>
              <w:spacing w:after="0" w:line="228" w:lineRule="exact"/>
              <w:rPr>
                <w:sz w:val="20"/>
                <w:szCs w:val="20"/>
                <w:color w:val="auto"/>
              </w:rPr>
            </w:pPr>
            <w:r>
              <w:rPr>
                <w:rFonts w:ascii="Times New Roman" w:cs="Times New Roman" w:eastAsia="Times New Roman" w:hAnsi="Times New Roman"/>
                <w:sz w:val="20"/>
                <w:szCs w:val="20"/>
                <w:color w:val="auto"/>
              </w:rPr>
              <w:t>ROCKY MOUNTAIN RESORT LODGING</w:t>
            </w:r>
          </w:p>
        </w:tc>
      </w:tr>
      <w:tr>
        <w:trPr>
          <w:trHeight w:val="258"/>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CORP., INC.</w:t>
            </w: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COMPANY</w:t>
            </w: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RCR VAIL, LLC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ROCKY MOUNTAIN RESIDENCES, LLC</w:t>
            </w: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ROCKRESORTS ARRABELLE, LLC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11440"/>
          </w:cols>
          <w:pgMar w:left="240" w:top="714" w:right="219" w:bottom="1440" w:gutter="0" w:footer="0" w:header="0"/>
        </w:sectPr>
      </w:pPr>
    </w:p>
    <w:bookmarkStart w:id="135" w:name="page136"/>
    <w:bookmarkEnd w:id="13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43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ROCKRESORTS CORDILLERA LODGE</w:t>
            </w:r>
          </w:p>
        </w:tc>
        <w:tc>
          <w:tcPr>
            <w:tcW w:w="2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top w:val="single" w:sz="8" w:color="auto"/>
              <w:right w:val="single" w:sz="8" w:color="auto"/>
            </w:tcBorders>
          </w:tcPr>
          <w:p>
            <w:pPr>
              <w:spacing w:after="0"/>
              <w:rPr>
                <w:sz w:val="21"/>
                <w:szCs w:val="21"/>
                <w:color w:val="auto"/>
              </w:rPr>
            </w:pPr>
          </w:p>
        </w:tc>
      </w:tr>
      <w:tr>
        <w:trPr>
          <w:trHeight w:val="258"/>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COMPANY, LLC</w:t>
            </w: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ROCKRESORTS COSTA RICA S.R.L.</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Costa Rica</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ROCKRESORTS DR, LLC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ROCKRESORTS EQUINOX, INC.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Vermont</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ROCKRESORTS HOTEL JEROME, LLC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ROCKRESORTS INTERNATIONAL, LLC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438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color w:val="auto"/>
              </w:rPr>
              <w:t>ROCKRESORTS INTERNATIONAL</w:t>
            </w:r>
          </w:p>
        </w:tc>
        <w:tc>
          <w:tcPr>
            <w:tcW w:w="228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ind w:left="20"/>
              <w:spacing w:after="0" w:line="228" w:lineRule="exact"/>
              <w:rPr>
                <w:sz w:val="20"/>
                <w:szCs w:val="20"/>
                <w:color w:val="auto"/>
              </w:rPr>
            </w:pPr>
            <w:r>
              <w:rPr>
                <w:rFonts w:ascii="Times New Roman" w:cs="Times New Roman" w:eastAsia="Times New Roman" w:hAnsi="Times New Roman"/>
                <w:sz w:val="20"/>
                <w:szCs w:val="20"/>
                <w:color w:val="auto"/>
              </w:rPr>
              <w:t>ROCKRESORTS INTERNATIONAL</w:t>
            </w:r>
          </w:p>
        </w:tc>
      </w:tr>
      <w:tr>
        <w:trPr>
          <w:trHeight w:val="258"/>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MANAGEMENT COMPANY</w:t>
            </w: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MANAGEMENT COMPANY, LLC</w:t>
            </w: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ROCKRESORTS JAMAICA LIMITED</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Jamaica</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ROCKRESORTS SKI TIP, LLC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ROCKRESORTS (ST. LUCIA) INC.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St. Lucia</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ROCKRESORTS THIRD TURTLE, LTD.</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Turks &amp; Caicos Islands</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ROCKRESORTS WYOMING, LLC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Wyoming</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ROCKRESORTS, LLC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SKIINFO AS</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Norway</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SKIINFO.FR S.A.R.L.</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France</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SKIINFO ITALY S.R.L.</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Italy</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SKIINFO S.R.O.</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Slovakia</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438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color w:val="auto"/>
              </w:rPr>
              <w:t>SLIFER SMITH &amp; FRAMPTON/VAIL</w:t>
            </w:r>
          </w:p>
        </w:tc>
        <w:tc>
          <w:tcPr>
            <w:tcW w:w="228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ind w:left="20"/>
              <w:spacing w:after="0" w:line="228" w:lineRule="exact"/>
              <w:rPr>
                <w:sz w:val="20"/>
                <w:szCs w:val="20"/>
                <w:color w:val="auto"/>
              </w:rPr>
            </w:pPr>
            <w:r>
              <w:rPr>
                <w:rFonts w:ascii="Times New Roman" w:cs="Times New Roman" w:eastAsia="Times New Roman" w:hAnsi="Times New Roman"/>
                <w:sz w:val="20"/>
                <w:szCs w:val="20"/>
                <w:color w:val="auto"/>
              </w:rPr>
              <w:t>SLIFER, SMITH &amp; FRAMPTON REAL</w:t>
            </w:r>
          </w:p>
        </w:tc>
      </w:tr>
      <w:tr>
        <w:trPr>
          <w:trHeight w:val="284"/>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ASSOCIATES REAL ESTATE, LLC</w:t>
            </w:r>
          </w:p>
        </w:tc>
        <w:tc>
          <w:tcPr>
            <w:tcW w:w="2280" w:type="dxa"/>
            <w:vAlign w:val="bottom"/>
            <w:tcBorders>
              <w:right w:val="single" w:sz="8" w:color="auto"/>
            </w:tcBorders>
          </w:tcPr>
          <w:p>
            <w:pPr>
              <w:spacing w:after="0"/>
              <w:rPr>
                <w:sz w:val="24"/>
                <w:szCs w:val="24"/>
                <w:color w:val="auto"/>
              </w:rPr>
            </w:pPr>
          </w:p>
        </w:tc>
        <w:tc>
          <w:tcPr>
            <w:tcW w:w="47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ESTATE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SLIFER, SMITH &amp; FRAMPTON/VAIL</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ASSOCIATES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SLIFER, SMITH &amp; FRAMPTON/VAIL</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ASSOCIATES LLC</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VAIL LIONSHEAD REAL ESTATE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BROKERS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VAIL-LIONSHEAD REAL ESTATE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BROKERS</w:t>
            </w:r>
          </w:p>
        </w:tc>
      </w:tr>
      <w:tr>
        <w:trPr>
          <w:trHeight w:val="258"/>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VAIL-LIONSHEAD REAL ESTATE CO.</w:t>
            </w:r>
          </w:p>
        </w:tc>
      </w:tr>
      <w:tr>
        <w:trPr>
          <w:trHeight w:val="48"/>
        </w:trPr>
        <w:tc>
          <w:tcPr>
            <w:tcW w:w="4380" w:type="dxa"/>
            <w:vAlign w:val="bottom"/>
            <w:tcBorders>
              <w:left w:val="single" w:sz="8" w:color="auto"/>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SOHO DEVELOPMENT, LLC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SSI VENTURE, LLC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ALL MOUNTAIN SPORTS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ALTERNATIVE EDGE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ANY MOUNTAIN</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ASPEN SPORTS AT SNOWMASS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ASPEN SPORTS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BEAVER CREEK FLY FISHER</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BICYCLE VILLAGE OF COLORADO</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BOARDER CROSS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BOARDER CROSSING</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BOARDER X-ING</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BOOTSIE LACY B LLC</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BOULDER SKI AND BIKE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BOULDER SKI AND BIKE DEALS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BOULDER SKI DEALS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BRECKENRIDGE SPORTS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BREEZE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BREEZE SKI RENTALS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BREEZE SKI &amp; SPORT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BUTTERBOX</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BUYSKIS.COM</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COLORADO SKI AND BIKE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COLORADO SKI &amp; GOLF</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COLORADO SNOWBOARDS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COPPER MOUNTAIN SPORTS</w:t>
            </w:r>
          </w:p>
        </w:tc>
      </w:tr>
      <w:tr>
        <w:trPr>
          <w:trHeight w:val="258"/>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COPPER VILLAGE SPORTS</w:t>
            </w:r>
          </w:p>
        </w:tc>
      </w:tr>
      <w:tr>
        <w:trPr>
          <w:trHeight w:val="251"/>
        </w:trPr>
        <w:tc>
          <w:tcPr>
            <w:tcW w:w="4380" w:type="dxa"/>
            <w:vAlign w:val="bottom"/>
            <w:tcBorders>
              <w:left w:val="single" w:sz="8" w:color="auto"/>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4780" w:type="dxa"/>
            <w:vAlign w:val="bottom"/>
            <w:tcBorders>
              <w:bottom w:val="single" w:sz="8" w:color="auto"/>
              <w:right w:val="single" w:sz="8" w:color="auto"/>
            </w:tcBorders>
          </w:tcPr>
          <w:p>
            <w:pPr>
              <w:spacing w:after="0"/>
              <w:rPr>
                <w:sz w:val="21"/>
                <w:szCs w:val="21"/>
                <w:color w:val="auto"/>
              </w:rPr>
            </w:pPr>
          </w:p>
        </w:tc>
      </w:tr>
    </w:tbl>
    <w:p>
      <w:pPr>
        <w:sectPr>
          <w:pgSz w:w="11900" w:h="16838" w:orient="portrait"/>
          <w:cols w:equalWidth="0" w:num="1">
            <w:col w:w="11440"/>
          </w:cols>
          <w:pgMar w:left="240" w:top="714" w:right="219" w:bottom="981" w:gutter="0" w:footer="0" w:header="0"/>
        </w:sectPr>
      </w:pPr>
    </w:p>
    <w:bookmarkStart w:id="136" w:name="page137"/>
    <w:bookmarkEnd w:id="13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43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SSI VENTURE, LLC (continued)</w:t>
            </w:r>
          </w:p>
        </w:tc>
        <w:tc>
          <w:tcPr>
            <w:tcW w:w="2280" w:type="dxa"/>
            <w:vAlign w:val="bottom"/>
            <w:tcBorders>
              <w:top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20"/>
                <w:szCs w:val="20"/>
                <w:color w:val="auto"/>
              </w:rPr>
              <w:t>Colorado</w:t>
            </w:r>
          </w:p>
        </w:tc>
        <w:tc>
          <w:tcPr>
            <w:tcW w:w="47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DEPOT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DEPOT SKI RENTALS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EFLIN SPORTS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EPIC MOUNTAIN GEAR</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FRISCO SPORTS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GONDOLA SPORTS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GORE CREEK FLY FISHERMAN</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GRAND WEST OUTFITTERS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HAPPY THOUGHTS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HEAVENLY EYES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HEAVENLY GIFTS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HEAVENLY SPORTS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HOIGAARD’S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KEYSTONE SPORTS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KIRKWOOD MOUNTAIN SPORTS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LIONSHEAD SPORTS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MAX SNOWBOARD</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MINE CHILDREN’S</w:t>
            </w:r>
          </w:p>
        </w:tc>
      </w:tr>
      <w:tr>
        <w:trPr>
          <w:trHeight w:val="258"/>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MOUNTAIN ADVENTURE CENTER</w:t>
            </w:r>
          </w:p>
        </w:tc>
      </w:tr>
      <w:tr>
        <w:trPr>
          <w:trHeight w:val="282"/>
        </w:trPr>
        <w:tc>
          <w:tcPr>
            <w:tcW w:w="4380" w:type="dxa"/>
            <w:vAlign w:val="bottom"/>
            <w:tcBorders>
              <w:left w:val="single" w:sz="8" w:color="auto"/>
              <w:righ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MOUNTAIN BASICS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MOUNTAIN SPORTS OUTLET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MOUNTAINSPORT TELLURIDE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NORTHSTAR LOGO</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NORTHSTAR SPORTS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ONE TRACK MIND</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PARK CITY MOUNTAIN SPORTS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PEAK SPORTS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RENTBOARDS.COM</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RENTSKIS.COM</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RENTSKIS GOLD</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RIVER RUN SPORTS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ROCKY MOUNTAIN EYES AND TEES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ROCKY MOUNTAIN EYES AND 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ROCKY MOUNTAIN EYEWEAR</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ROCKY MOUNTAIN EYEWEAR LTD.</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SAN MIGUEL ANGLERS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SKI DEPOT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SKI DEPOT RENTALS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SKI DEPOT SPORTS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SNOWMASS SPORT STALKER</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SPECIALTY SPORTS NETWORK</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SPECIALTY SPORTS VENTURE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STEAMBOAT SPORTS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TAYLOR CREEK</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TAYLOR CREEK ANGLING SERVICES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TAYLOR CREEK FLY SHOPS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TAYLOR CREEK SPORTS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TELLURIDE ADVENTURES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TELLURIDE MOUNTAIN BIKE HEADQUARTERS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LLC</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TELLURIDE MOUNTAINCRAFT LLC</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TELLURIDE SPORTS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TEN MILE SPORTS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THE BOARDING HOUSE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THE DEPOT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THE SKI DOCTOR</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TRUE NORTH</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VAIL FISHING GUIDES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VAIL FLY-FISHING</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VAIL FLY-FISHING OUTFITTERS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VAIL RESORTS RETAIL</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WINTER PARK SKI RENTALS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WINTER PARK SKI SWAP</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WINTER PARK SPORTS</w:t>
            </w:r>
          </w:p>
        </w:tc>
      </w:tr>
      <w:tr>
        <w:trPr>
          <w:trHeight w:val="258"/>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WINTER PARK SWAP SHOP</w:t>
            </w:r>
          </w:p>
        </w:tc>
      </w:tr>
      <w:tr>
        <w:trPr>
          <w:trHeight w:val="737"/>
        </w:trPr>
        <w:tc>
          <w:tcPr>
            <w:tcW w:w="438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478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440"/>
          </w:cols>
          <w:pgMar w:left="240" w:top="714" w:right="219" w:bottom="0" w:gutter="0" w:footer="0" w:header="0"/>
        </w:sectPr>
      </w:pPr>
    </w:p>
    <w:bookmarkStart w:id="137" w:name="page138"/>
    <w:bookmarkEnd w:id="13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8" w:name="page139"/>
    <w:bookmarkEnd w:id="138"/>
    <w:tbl>
      <w:tblPr>
        <w:tblLayout w:type="fixed"/>
        <w:tblInd w:w="10" w:type="dxa"/>
        <w:tblCellMar>
          <w:top w:w="0" w:type="dxa"/>
          <w:left w:w="0" w:type="dxa"/>
          <w:bottom w:w="0" w:type="dxa"/>
          <w:right w:w="0" w:type="dxa"/>
        </w:tblCellMar>
      </w:tblPr>
      <w:tr>
        <w:trPr>
          <w:trHeight w:val="276"/>
        </w:trPr>
        <w:tc>
          <w:tcPr>
            <w:tcW w:w="43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SSV HOLDINGS, INC.</w:t>
            </w:r>
          </w:p>
        </w:tc>
        <w:tc>
          <w:tcPr>
            <w:tcW w:w="2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NEVE SPORTS</w:t>
            </w: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SSV ONLINE LLC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Wisconsin</w:t>
            </w: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OUTDOOR OUTLET</w:t>
            </w: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SSV ONLINE HOLDINGS, INC.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STAGECOACH DEVELOPMENT, LLC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Nevada</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STAMPEDE CANTEEN, LLC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Wyoming</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SUMMIT SKI LIMITED</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British Columbia</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TCRM COMPANY</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TENDERFOOT SEASONAL HOUSING, LLC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TETON HOSPITALITY SERVICES, INC.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Wyoming</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THE CHALETS AT THE LODGE AT VAIL, LLC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THE LODGE AT VAIL CHALETS</w:t>
            </w: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THE VAIL CORPORATION</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ARROWHEAD ALPINE CLUB</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ASPEN GROVE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AVAIL ADVENTURE OUTFITTERS, LTD.</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BACHELOR GULCH CLUB</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BACHELOR GULCH</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BEAVER CREEK CLUB</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BEAVER CREEK RESORT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PASSPORT CLUB</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PRATER LANE PLAY SCHOOL</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RED SKY GOLF CLUB</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RED SKY GOLF CLUB GUEST CLUBHOUSE PRO</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SHOP</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RED SKY GOLF CLUB MEMBER PRO</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SHOP</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THE ARRABELLE CLUB</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THE OSPREY AT BEAVER CREEK</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THE PASSPORT CLUBHOUSE AT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GOLDEN PEAK</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THE YOUNGER GENERATION</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TV8</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VAIL ASSOCIATES, INC.</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VAIL CONSULTANTS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VAIL MOUNTAIN HIKING CENTER</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VAIL RESORTS MANAGEMENT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COMPANY</w:t>
            </w:r>
          </w:p>
        </w:tc>
      </w:tr>
      <w:tr>
        <w:trPr>
          <w:trHeight w:val="258"/>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VAIL SNOWBOARD SUPPLY</w:t>
            </w:r>
          </w:p>
        </w:tc>
      </w:tr>
      <w:tr>
        <w:trPr>
          <w:trHeight w:val="48"/>
        </w:trPr>
        <w:tc>
          <w:tcPr>
            <w:tcW w:w="4380" w:type="dxa"/>
            <w:vAlign w:val="bottom"/>
            <w:tcBorders>
              <w:left w:val="single" w:sz="8" w:color="auto"/>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r>
      <w:tr>
        <w:trPr>
          <w:trHeight w:val="227"/>
        </w:trPr>
        <w:tc>
          <w:tcPr>
            <w:tcW w:w="438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color w:val="auto"/>
              </w:rPr>
              <w:t>THE VILLAGE AT BRECKENRIDGE</w:t>
            </w:r>
          </w:p>
        </w:tc>
        <w:tc>
          <w:tcPr>
            <w:tcW w:w="228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8"/>
              </w:rPr>
              <w:t>Tennessee</w:t>
            </w:r>
          </w:p>
        </w:tc>
        <w:tc>
          <w:tcPr>
            <w:tcW w:w="4780" w:type="dxa"/>
            <w:vAlign w:val="bottom"/>
            <w:tcBorders>
              <w:right w:val="single" w:sz="8" w:color="auto"/>
            </w:tcBorders>
          </w:tcPr>
          <w:p>
            <w:pPr>
              <w:ind w:left="20"/>
              <w:spacing w:after="0" w:line="228" w:lineRule="exact"/>
              <w:rPr>
                <w:sz w:val="20"/>
                <w:szCs w:val="20"/>
                <w:color w:val="auto"/>
              </w:rPr>
            </w:pPr>
            <w:r>
              <w:rPr>
                <w:rFonts w:ascii="Times New Roman" w:cs="Times New Roman" w:eastAsia="Times New Roman" w:hAnsi="Times New Roman"/>
                <w:sz w:val="20"/>
                <w:szCs w:val="20"/>
                <w:color w:val="auto"/>
              </w:rPr>
              <w:t>BRECKENRIDGE MOUNTAIN LODGE</w:t>
            </w:r>
          </w:p>
        </w:tc>
      </w:tr>
      <w:tr>
        <w:trPr>
          <w:trHeight w:val="257"/>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ACQUISITION CORP., INC.</w:t>
            </w: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MAGGIE CAFETERIA</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MOUNTAIN THUNDER PROPERTY</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MANAGEMENT COMPANY</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ROCKY MOUNTAIN RESORT LODGING</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THE VILLAGE AT BRECKENRIDGE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THE VILLAGE AT BRECKENRIDGE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RESORT</w:t>
            </w:r>
          </w:p>
        </w:tc>
      </w:tr>
      <w:tr>
        <w:trPr>
          <w:trHeight w:val="258"/>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VILLAGE PUB</w:t>
            </w:r>
          </w:p>
        </w:tc>
      </w:tr>
      <w:tr>
        <w:trPr>
          <w:trHeight w:val="48"/>
        </w:trPr>
        <w:tc>
          <w:tcPr>
            <w:tcW w:w="4380" w:type="dxa"/>
            <w:vAlign w:val="bottom"/>
            <w:tcBorders>
              <w:left w:val="single" w:sz="8" w:color="auto"/>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TRIMONT LAND COMPANY</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California</w:t>
            </w: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NORTHSTAR AT TAHOE RESORT</w:t>
            </w:r>
          </w:p>
        </w:tc>
      </w:tr>
      <w:tr>
        <w:trPr>
          <w:trHeight w:val="258"/>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NORTHSTAR CALIFORNIA</w:t>
            </w:r>
          </w:p>
        </w:tc>
      </w:tr>
      <w:tr>
        <w:trPr>
          <w:trHeight w:val="48"/>
        </w:trPr>
        <w:tc>
          <w:tcPr>
            <w:tcW w:w="4380" w:type="dxa"/>
            <w:vAlign w:val="bottom"/>
            <w:tcBorders>
              <w:left w:val="single" w:sz="8" w:color="auto"/>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VA RANCHO MIRAGE I, INC.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VA RANCHO MIRAGE II, INC.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VA RANCHO MIRAGE RESORT, L.P.</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VAIL ASSOCIATES HOLDINGS, LTD.</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VAIL ASSOCIATES INVESTMENTS, INC.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WARREN LAKES VENTURE, LTD.</w:t>
            </w: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VAIL ASSOCIATES REAL ESTATE, INC.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11440"/>
          </w:cols>
          <w:pgMar w:left="240" w:top="714" w:right="219" w:bottom="1440" w:gutter="0" w:footer="0" w:header="0"/>
        </w:sectPr>
      </w:pPr>
    </w:p>
    <w:bookmarkStart w:id="139" w:name="page140"/>
    <w:bookmarkEnd w:id="13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43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VAIL FOOD SERVICES, INC.</w:t>
            </w:r>
          </w:p>
        </w:tc>
        <w:tc>
          <w:tcPr>
            <w:tcW w:w="2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BISTRO 14</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EXTRA EXTRA</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FOX HOLLOW GOLF COURSE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CLUBHOUSE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GOLDEN PEAK GRILL</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GOLDEN PEAK RESTAURANT AND</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CANTINA</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 THE DOG HAUS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ONE ELK RESTAURANT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RIPPEROO’S CORNER CAFÉ</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SALSA'S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THE LIONS DEN BAR &amp; GRILL</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TWO ELK RESTAURANT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VAIL MOUNTAIN DINING COMPANY</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WAFFLE WAY</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WILDWOOD EXPRESS</w:t>
            </w:r>
          </w:p>
        </w:tc>
      </w:tr>
      <w:tr>
        <w:trPr>
          <w:trHeight w:val="258"/>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WILDWOOD SMOKEHOUSE</w:t>
            </w:r>
          </w:p>
        </w:tc>
      </w:tr>
      <w:tr>
        <w:trPr>
          <w:trHeight w:val="48"/>
        </w:trPr>
        <w:tc>
          <w:tcPr>
            <w:tcW w:w="4380" w:type="dxa"/>
            <w:vAlign w:val="bottom"/>
            <w:tcBorders>
              <w:left w:val="single" w:sz="8" w:color="auto"/>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VAIL HOLDINGS FINANCE B.V.</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Netherlands</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VAIL HOLDINGS, INC.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APRES LOUNGE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AVON AT BEAVER CREEK.</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AVON-VAIL COMPANY</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BEAVER CREEK ADVERTISING AGENCY</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BEAVER CREEK EQUESTRIAN CENTER</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BEAVER CREEK GOLF AND TENNIS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CLUB</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BEAVER CREEK GOLF CLUB BAR &amp;</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GRILL</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BEAVER CREEK GOLF CLUB</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BEAVER CREEK GUIDES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BEAVER CREEK JEEP GUIDES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BEAVER CREEK SKI PATROL</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BEAVER CREEK SKI RENTAL</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BEAVER CREEK SKI REPAIR</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BEAVER CREEK SKI RESORT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BEAVER CREEK SKI SCHOOL</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BEAVER CREEK SKI SERVICE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BEAVER CREEK SKI SHOPS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BEAVER CREEK SPORTING GOODS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BEAVER CREEK SPORT SHOP</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BEAVER CREEK SPORTS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BEAVER CREEK TENNIS CLUB</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BEAVER CREEK VACATION RESORT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EAGLE RESIDENCES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GAME CREEK CLUB</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LODGE AT BEAVER CREEK</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PLAZA LODGE AT BEAVER CREEK</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THE ENCLAVE RESTAURANT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THE INN AT BEAVER CREEK</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TRAIL'S END BAR</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VAIL ASSOCIATES DEVELOPMENT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CORPORATION</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VAIL/BEAVER CREEK CENTRAL</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RESERVATIONS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VAIL-BEAVER CREEK COMPANY</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VAIL BEAVER CREEK REAL ESTATE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VAIL MOUNTAIN CLUB</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VAIL MOUNTAIN RESORT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VAIL MOUNTAIN RESORT AND</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CONFERENCE CENTER</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VAIL PRODUCTIONS</w:t>
            </w:r>
          </w:p>
        </w:tc>
      </w:tr>
      <w:tr>
        <w:trPr>
          <w:trHeight w:val="258"/>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WILDWOOD SHELTER</w:t>
            </w: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VAIL HOTEL MANAGEMENT COMPANY, LLC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11440"/>
          </w:cols>
          <w:pgMar w:left="240" w:top="714" w:right="219" w:bottom="941" w:gutter="0" w:footer="0" w:header="0"/>
        </w:sectPr>
      </w:pPr>
    </w:p>
    <w:bookmarkStart w:id="140" w:name="page141"/>
    <w:bookmarkEnd w:id="14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43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VAIL RESORTS DEVELOPMENT COMPANY</w:t>
            </w:r>
          </w:p>
        </w:tc>
        <w:tc>
          <w:tcPr>
            <w:tcW w:w="2280" w:type="dxa"/>
            <w:vAlign w:val="bottom"/>
            <w:tcBorders>
              <w:top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20"/>
                <w:szCs w:val="20"/>
                <w:color w:val="auto"/>
              </w:rPr>
              <w:t>Colorado</w:t>
            </w:r>
          </w:p>
        </w:tc>
        <w:tc>
          <w:tcPr>
            <w:tcW w:w="47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VAIL ASSOCIATES REAL ESTATE GROUP</w:t>
            </w: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83"/>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VAIL RESORTS LODGING COMPANY</w:t>
            </w:r>
          </w:p>
        </w:tc>
        <w:tc>
          <w:tcPr>
            <w:tcW w:w="228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20"/>
                <w:szCs w:val="20"/>
                <w:color w:val="auto"/>
              </w:rPr>
              <w:t>Delaware</w:t>
            </w: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PARK CITY RENTAL MANAGEMENT</w:t>
            </w:r>
          </w:p>
        </w:tc>
      </w:tr>
      <w:tr>
        <w:trPr>
          <w:trHeight w:val="284"/>
        </w:trPr>
        <w:tc>
          <w:tcPr>
            <w:tcW w:w="4380" w:type="dxa"/>
            <w:vAlign w:val="bottom"/>
            <w:tcBorders>
              <w:left w:val="single" w:sz="8" w:color="auto"/>
              <w:righ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47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COMPANY</w:t>
            </w:r>
          </w:p>
        </w:tc>
      </w:tr>
      <w:tr>
        <w:trPr>
          <w:trHeight w:val="284"/>
        </w:trPr>
        <w:tc>
          <w:tcPr>
            <w:tcW w:w="4380" w:type="dxa"/>
            <w:vAlign w:val="bottom"/>
            <w:tcBorders>
              <w:left w:val="single" w:sz="8" w:color="auto"/>
              <w:righ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VAIL RESORTS HOSPITALITY</w:t>
            </w:r>
          </w:p>
        </w:tc>
      </w:tr>
      <w:tr>
        <w:trPr>
          <w:trHeight w:val="48"/>
        </w:trPr>
        <w:tc>
          <w:tcPr>
            <w:tcW w:w="4380" w:type="dxa"/>
            <w:vAlign w:val="bottom"/>
            <w:tcBorders>
              <w:left w:val="single" w:sz="8" w:color="auto"/>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VAIL RR, INC.</w:t>
            </w:r>
          </w:p>
        </w:tc>
        <w:tc>
          <w:tcPr>
            <w:tcW w:w="228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20"/>
                <w:szCs w:val="20"/>
                <w:color w:val="auto"/>
              </w:rPr>
              <w:t>Colorado</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VAIL SUMMIT RESORTS, INC.</w:t>
            </w:r>
          </w:p>
        </w:tc>
        <w:tc>
          <w:tcPr>
            <w:tcW w:w="228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20"/>
                <w:szCs w:val="20"/>
                <w:color w:val="auto"/>
              </w:rPr>
              <w:t>Colorado</w:t>
            </w: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BEAVER CREEK VILLAGE TRAVEL</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BRECKENRIDGE HOSPITALITY</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BRECKENRIDGE LODGING &amp;  HOSPITALITY</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BRECKENRIDGE MOUNTAIN RESORT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BRECKENRIDGE PROPERTY</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MANAGEMENT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BRECKENRIDGE SKI RESORT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BRECKENRIDGE SKI RESORT  CORPORATION</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COLORADO VACATIONS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KEYSTONE CONFERENCE CENTER</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KEYSTONE LODGE &amp; SPA</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KEYSTONE LODGING AND</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HOSPITALITY</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KEYSTONE RESORT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KEYSTONE STABLES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KEYSTONE TRAVEL</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RESERVATIONS FOR THE SUMMIT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ROCKY MOUNTAIN RESORT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RESERVATIONS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ROCKY MOUNTAIN RESORTVACATIONS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ROCKY MOUNTAIN SKI</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CONSOLIDATORS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VAIL/BEAVER CREEK CENTRAL</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RESERVATIONS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VAIL/BEAVER CREEK RESERVATIONS</w:t>
            </w:r>
          </w:p>
        </w:tc>
      </w:tr>
      <w:tr>
        <w:trPr>
          <w:trHeight w:val="258"/>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VAIL/BEAVER CREEK TRAVEL</w:t>
            </w:r>
          </w:p>
        </w:tc>
      </w:tr>
      <w:tr>
        <w:trPr>
          <w:trHeight w:val="48"/>
        </w:trPr>
        <w:tc>
          <w:tcPr>
            <w:tcW w:w="4380" w:type="dxa"/>
            <w:vAlign w:val="bottom"/>
            <w:tcBorders>
              <w:left w:val="single" w:sz="8" w:color="auto"/>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VAIL TRADEMARKS, INC.</w:t>
            </w:r>
          </w:p>
        </w:tc>
        <w:tc>
          <w:tcPr>
            <w:tcW w:w="228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20"/>
                <w:szCs w:val="20"/>
                <w:color w:val="auto"/>
              </w:rPr>
              <w:t>Colorado</w:t>
            </w: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VAIL RESORTS TRADEMARKS</w:t>
            </w: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VAIL/ARROWHEAD, INC.</w:t>
            </w:r>
          </w:p>
        </w:tc>
        <w:tc>
          <w:tcPr>
            <w:tcW w:w="228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20"/>
                <w:szCs w:val="20"/>
                <w:color w:val="auto"/>
              </w:rPr>
              <w:t>Colorado</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438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color w:val="auto"/>
              </w:rPr>
              <w:t>VAIL/BEAVER CREEK RESORT PROPERTIES,</w:t>
            </w:r>
          </w:p>
        </w:tc>
        <w:tc>
          <w:tcPr>
            <w:tcW w:w="2280" w:type="dxa"/>
            <w:vAlign w:val="bottom"/>
            <w:tcBorders>
              <w:right w:val="single" w:sz="8" w:color="auto"/>
            </w:tcBorders>
          </w:tcPr>
          <w:p>
            <w:pPr>
              <w:ind w:left="760"/>
              <w:spacing w:after="0" w:line="228" w:lineRule="exact"/>
              <w:rPr>
                <w:sz w:val="20"/>
                <w:szCs w:val="20"/>
                <w:color w:val="auto"/>
              </w:rPr>
            </w:pPr>
            <w:r>
              <w:rPr>
                <w:rFonts w:ascii="Times New Roman" w:cs="Times New Roman" w:eastAsia="Times New Roman" w:hAnsi="Times New Roman"/>
                <w:sz w:val="20"/>
                <w:szCs w:val="20"/>
                <w:color w:val="auto"/>
              </w:rPr>
              <w:t>Colorado</w:t>
            </w:r>
          </w:p>
        </w:tc>
        <w:tc>
          <w:tcPr>
            <w:tcW w:w="4780" w:type="dxa"/>
            <w:vAlign w:val="bottom"/>
            <w:tcBorders>
              <w:right w:val="single" w:sz="8" w:color="auto"/>
            </w:tcBorders>
          </w:tcPr>
          <w:p>
            <w:pPr>
              <w:ind w:left="20"/>
              <w:spacing w:after="0" w:line="228" w:lineRule="exact"/>
              <w:rPr>
                <w:sz w:val="20"/>
                <w:szCs w:val="20"/>
                <w:color w:val="auto"/>
              </w:rPr>
            </w:pPr>
            <w:r>
              <w:rPr>
                <w:rFonts w:ascii="Times New Roman" w:cs="Times New Roman" w:eastAsia="Times New Roman" w:hAnsi="Times New Roman"/>
                <w:sz w:val="20"/>
                <w:szCs w:val="20"/>
                <w:color w:val="auto"/>
              </w:rPr>
              <w:t>ARROWHEAD PROPERTY MANAGEMENT</w:t>
            </w:r>
          </w:p>
        </w:tc>
      </w:tr>
      <w:tr>
        <w:trPr>
          <w:trHeight w:val="257"/>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INC.</w:t>
            </w: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COMPANY</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BACHELOR GULCH PROPERTY</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MANAGEMENT COMPANY</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BEAVER CREEK RESORT PROPERTIES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BEAVER CREEK TENNIS CENTER</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TRAPPER'S CABIN</w:t>
            </w:r>
          </w:p>
        </w:tc>
      </w:tr>
      <w:tr>
        <w:trPr>
          <w:trHeight w:val="258"/>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VAIL PROPERTY MANAGEMENT</w:t>
            </w:r>
          </w:p>
        </w:tc>
      </w:tr>
      <w:tr>
        <w:trPr>
          <w:trHeight w:val="48"/>
        </w:trPr>
        <w:tc>
          <w:tcPr>
            <w:tcW w:w="4380" w:type="dxa"/>
            <w:vAlign w:val="bottom"/>
            <w:tcBorders>
              <w:left w:val="single" w:sz="8" w:color="auto"/>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VAMHC, INC.</w:t>
            </w:r>
          </w:p>
        </w:tc>
        <w:tc>
          <w:tcPr>
            <w:tcW w:w="228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20"/>
                <w:szCs w:val="20"/>
                <w:color w:val="auto"/>
              </w:rPr>
              <w:t>Colorado</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VR ACQUISITION, INC.</w:t>
            </w:r>
          </w:p>
        </w:tc>
        <w:tc>
          <w:tcPr>
            <w:tcW w:w="22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California</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VR AUSTRALIA HOLDINGS PTY LTD</w:t>
            </w:r>
          </w:p>
        </w:tc>
        <w:tc>
          <w:tcPr>
            <w:tcW w:w="228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20"/>
                <w:szCs w:val="20"/>
                <w:color w:val="auto"/>
              </w:rPr>
              <w:t>Australia</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438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color w:val="auto"/>
              </w:rPr>
              <w:t>VR CPC HOLDINGS, INC.</w:t>
            </w:r>
          </w:p>
        </w:tc>
        <w:tc>
          <w:tcPr>
            <w:tcW w:w="2280" w:type="dxa"/>
            <w:vAlign w:val="bottom"/>
            <w:tcBorders>
              <w:right w:val="single" w:sz="8" w:color="auto"/>
            </w:tcBorders>
          </w:tcPr>
          <w:p>
            <w:pPr>
              <w:ind w:left="740"/>
              <w:spacing w:after="0" w:line="228" w:lineRule="exact"/>
              <w:rPr>
                <w:sz w:val="20"/>
                <w:szCs w:val="20"/>
                <w:color w:val="auto"/>
              </w:rPr>
            </w:pPr>
            <w:r>
              <w:rPr>
                <w:rFonts w:ascii="Times New Roman" w:cs="Times New Roman" w:eastAsia="Times New Roman" w:hAnsi="Times New Roman"/>
                <w:sz w:val="20"/>
                <w:szCs w:val="20"/>
                <w:color w:val="auto"/>
              </w:rPr>
              <w:t>Delaware</w:t>
            </w:r>
          </w:p>
        </w:tc>
        <w:tc>
          <w:tcPr>
            <w:tcW w:w="4780" w:type="dxa"/>
            <w:vAlign w:val="bottom"/>
            <w:tcBorders>
              <w:right w:val="single" w:sz="8" w:color="auto"/>
            </w:tcBorders>
          </w:tcPr>
          <w:p>
            <w:pPr>
              <w:ind w:left="20"/>
              <w:spacing w:after="0" w:line="228" w:lineRule="exact"/>
              <w:rPr>
                <w:sz w:val="20"/>
                <w:szCs w:val="20"/>
                <w:color w:val="auto"/>
              </w:rPr>
            </w:pPr>
            <w:r>
              <w:rPr>
                <w:rFonts w:ascii="Times New Roman" w:cs="Times New Roman" w:eastAsia="Times New Roman" w:hAnsi="Times New Roman"/>
                <w:sz w:val="20"/>
                <w:szCs w:val="20"/>
                <w:color w:val="auto"/>
              </w:rPr>
              <w:t>CANYONS GOLF COURSE BEVERAGE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CARTS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CANYONS RESORT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COBRA DOG SHACK</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KRISTI’S COFFEE CAFÉ</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LEGACY LODGE</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LEGACY SPORTS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LEGENDS AT THE RESORT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MID MOUNTAIN</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MINER'S CAMP RESTAURANT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PARK CITY MOUNTAIN RESORT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PARK CITY MOUNTAIN</w:t>
            </w:r>
          </w:p>
        </w:tc>
      </w:tr>
      <w:tr>
        <w:trPr>
          <w:trHeight w:val="258"/>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PARK CITY RESORT</w:t>
            </w: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11440"/>
          </w:cols>
          <w:pgMar w:left="240" w:top="714" w:right="219" w:bottom="1440" w:gutter="0" w:footer="0" w:header="0"/>
        </w:sectPr>
      </w:pPr>
    </w:p>
    <w:bookmarkStart w:id="141" w:name="page142"/>
    <w:bookmarkEnd w:id="14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43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VR CPC HOLDINGS, INC. (continued)</w:t>
            </w:r>
          </w:p>
        </w:tc>
        <w:tc>
          <w:tcPr>
            <w:tcW w:w="2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c>
          <w:tcPr>
            <w:tcW w:w="47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SNOW HUT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SUMMIT HOUSE</w:t>
            </w:r>
          </w:p>
        </w:tc>
      </w:tr>
      <w:tr>
        <w:trPr>
          <w:trHeight w:val="258"/>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THE CANYONS</w:t>
            </w:r>
          </w:p>
        </w:tc>
      </w:tr>
      <w:tr>
        <w:trPr>
          <w:trHeight w:val="480"/>
        </w:trPr>
        <w:tc>
          <w:tcPr>
            <w:tcW w:w="438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4780" w:type="dxa"/>
            <w:vAlign w:val="bottom"/>
            <w:tcBorders>
              <w:bottom w:val="single" w:sz="8" w:color="auto"/>
              <w:right w:val="single" w:sz="8" w:color="auto"/>
            </w:tcBorders>
          </w:tcPr>
          <w:p>
            <w:pPr>
              <w:spacing w:after="0"/>
              <w:rPr>
                <w:sz w:val="24"/>
                <w:szCs w:val="24"/>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VR CPC SERVICES, LLC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VR HEAVENLY CONCESSIONS, INC.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California</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VR HEAVENLY I, INC.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VR HEAVENLY II, INC.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VR HOLDINGS, INC.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Colorado</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4"/>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VR US HOLDINGS, INC.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AFTON ALPS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AFTON ALPS RESORT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BRUHN’S</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MT. BRIGHTON</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MT. BRIGHTON RESORT</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ONE CREEK MOUNTAIN GRILL</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SKI HILL GRILL</w:t>
            </w:r>
          </w:p>
        </w:tc>
      </w:tr>
      <w:tr>
        <w:trPr>
          <w:trHeight w:val="258"/>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THE TRUCK</w:t>
            </w:r>
          </w:p>
        </w:tc>
      </w:tr>
      <w:tr>
        <w:trPr>
          <w:trHeight w:val="48"/>
        </w:trPr>
        <w:tc>
          <w:tcPr>
            <w:tcW w:w="4380" w:type="dxa"/>
            <w:vAlign w:val="bottom"/>
            <w:tcBorders>
              <w:left w:val="single" w:sz="8" w:color="auto"/>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r>
      <w:tr>
        <w:trPr>
          <w:trHeight w:val="281"/>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VR US HOLDINGS II, LLC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STOWE MOUNTAIN RESORT</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ADVENTURE CENTER</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CLIFF HOUSE RESTAURANT</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CUBS CHILD CARE</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GONDOLA CAFÉ</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LODGE AT MT. MANSFIELD</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LODGE AT STOWE MOUNTAIN RESORT</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MIDWAY CAFÉ</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MT. MANSFIELD BASELODGE</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MT. MANSFIELD SKI PATROL</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OCTAGON CAFETERIA</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SMUGGLERS DEN</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SPRUCE BASE CAMP</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SPURCE CAMP BASE LODGE</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SPRUCE CAMP</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SPRUCE LODGET AT MT. MANSFIELD</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STOWE ADVENTURE CENTER</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STOWE BASE CAMP</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STOWE CUBS DAYCARE</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THE CANTEEN RESTAURANT</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THE FIRESIDE TAVERN</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THE INN AT THE MOUNTAIN</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THE OCTAGON</w:t>
            </w:r>
          </w:p>
        </w:tc>
      </w:tr>
      <w:tr>
        <w:trPr>
          <w:trHeight w:val="257"/>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TOLL HOUSE CONFERENCE CENTER</w:t>
            </w:r>
          </w:p>
        </w:tc>
      </w:tr>
      <w:tr>
        <w:trPr>
          <w:trHeight w:val="230"/>
        </w:trPr>
        <w:tc>
          <w:tcPr>
            <w:tcW w:w="438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TREETOP ADVENTURE</w:t>
            </w:r>
          </w:p>
        </w:tc>
      </w:tr>
      <w:tr>
        <w:trPr>
          <w:trHeight w:val="258"/>
        </w:trPr>
        <w:tc>
          <w:tcPr>
            <w:tcW w:w="4380" w:type="dxa"/>
            <w:vAlign w:val="bottom"/>
            <w:tcBorders>
              <w:left w:val="single" w:sz="8" w:color="auto"/>
              <w:right w:val="single" w:sz="8" w:color="auto"/>
            </w:tcBorders>
          </w:tcPr>
          <w:p>
            <w:pPr>
              <w:spacing w:after="0"/>
              <w:rPr>
                <w:sz w:val="22"/>
                <w:szCs w:val="22"/>
                <w:color w:val="auto"/>
              </w:rPr>
            </w:pP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ZIPTOUR ADVENTURE</w:t>
            </w:r>
          </w:p>
        </w:tc>
      </w:tr>
      <w:tr>
        <w:trPr>
          <w:trHeight w:val="251"/>
        </w:trPr>
        <w:tc>
          <w:tcPr>
            <w:tcW w:w="4380" w:type="dxa"/>
            <w:vAlign w:val="bottom"/>
            <w:tcBorders>
              <w:left w:val="single" w:sz="8" w:color="auto"/>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4780" w:type="dxa"/>
            <w:vAlign w:val="bottom"/>
            <w:tcBorders>
              <w:bottom w:val="single" w:sz="8" w:color="auto"/>
              <w:right w:val="single" w:sz="8" w:color="auto"/>
            </w:tcBorders>
          </w:tcPr>
          <w:p>
            <w:pPr>
              <w:spacing w:after="0"/>
              <w:rPr>
                <w:sz w:val="21"/>
                <w:szCs w:val="2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VR WM HOLDINGS, LLC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c>
          <w:tcPr>
            <w:tcW w:w="4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WILMOT MOUNTAIN RESORT</w:t>
            </w: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WB LAND INC.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British Columbia</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WB LAND (CREEKSIDE SNOW SCHOOL) INC.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British Columbia</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WB/T DEVELOPMENT LTD.</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British Columbia</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438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color w:val="auto"/>
              </w:rPr>
              <w:t>WHISTLER &amp; BLACKCOMB MOUNTAIN</w:t>
            </w:r>
          </w:p>
        </w:tc>
        <w:tc>
          <w:tcPr>
            <w:tcW w:w="228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8"/>
              </w:rPr>
              <w:t>British Columbia</w:t>
            </w:r>
          </w:p>
        </w:tc>
        <w:tc>
          <w:tcPr>
            <w:tcW w:w="4780" w:type="dxa"/>
            <w:vAlign w:val="bottom"/>
            <w:tcBorders>
              <w:right w:val="single" w:sz="8" w:color="auto"/>
            </w:tcBorders>
          </w:tcPr>
          <w:p>
            <w:pPr>
              <w:spacing w:after="0"/>
              <w:rPr>
                <w:sz w:val="19"/>
                <w:szCs w:val="19"/>
                <w:color w:val="auto"/>
              </w:rPr>
            </w:pPr>
          </w:p>
        </w:tc>
      </w:tr>
      <w:tr>
        <w:trPr>
          <w:trHeight w:val="258"/>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RESORTS LIMITED</w:t>
            </w: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WHISTLER ALPINE CLUB INC.</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British Columbia</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438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color w:val="auto"/>
              </w:rPr>
              <w:t>WHISTLER BLACKCOMB EMPLOYMENT</w:t>
            </w:r>
          </w:p>
        </w:tc>
        <w:tc>
          <w:tcPr>
            <w:tcW w:w="228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8"/>
              </w:rPr>
              <w:t>British Columbia</w:t>
            </w:r>
          </w:p>
        </w:tc>
        <w:tc>
          <w:tcPr>
            <w:tcW w:w="4780" w:type="dxa"/>
            <w:vAlign w:val="bottom"/>
            <w:tcBorders>
              <w:right w:val="single" w:sz="8" w:color="auto"/>
            </w:tcBorders>
          </w:tcPr>
          <w:p>
            <w:pPr>
              <w:spacing w:after="0"/>
              <w:rPr>
                <w:sz w:val="19"/>
                <w:szCs w:val="19"/>
                <w:color w:val="auto"/>
              </w:rPr>
            </w:pPr>
          </w:p>
        </w:tc>
      </w:tr>
      <w:tr>
        <w:trPr>
          <w:trHeight w:val="258"/>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CORP.</w:t>
            </w: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438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color w:val="auto"/>
              </w:rPr>
              <w:t>WHISTLER BLACKCOMB HOLDINGS INC.</w:t>
            </w:r>
          </w:p>
        </w:tc>
        <w:tc>
          <w:tcPr>
            <w:tcW w:w="2280" w:type="dxa"/>
            <w:vAlign w:val="bottom"/>
            <w:tcBorders>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color w:val="auto"/>
                <w:w w:val="98"/>
              </w:rPr>
              <w:t>British Columbia</w:t>
            </w:r>
          </w:p>
        </w:tc>
        <w:tc>
          <w:tcPr>
            <w:tcW w:w="4780" w:type="dxa"/>
            <w:vAlign w:val="bottom"/>
            <w:tcBorders>
              <w:right w:val="single" w:sz="8" w:color="auto"/>
            </w:tcBorders>
          </w:tcPr>
          <w:p>
            <w:pPr>
              <w:spacing w:after="0"/>
              <w:rPr>
                <w:sz w:val="19"/>
                <w:szCs w:val="19"/>
                <w:color w:val="auto"/>
              </w:rPr>
            </w:pPr>
          </w:p>
        </w:tc>
      </w:tr>
      <w:tr>
        <w:trPr>
          <w:trHeight w:val="258"/>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(f/k/a 1068877 BC Ltd.)</w:t>
            </w: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11440"/>
          </w:cols>
          <w:pgMar w:left="240" w:top="714" w:right="219" w:bottom="859" w:gutter="0" w:footer="0" w:header="0"/>
        </w:sectPr>
      </w:pPr>
    </w:p>
    <w:bookmarkStart w:id="142" w:name="page143"/>
    <w:bookmarkEnd w:id="14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43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WHISTLER/BLACKCOMB MOUNTAIN</w:t>
            </w:r>
          </w:p>
        </w:tc>
        <w:tc>
          <w:tcPr>
            <w:tcW w:w="2280" w:type="dxa"/>
            <w:vAlign w:val="bottom"/>
            <w:tcBorders>
              <w:top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20"/>
                <w:szCs w:val="20"/>
                <w:color w:val="auto"/>
              </w:rPr>
              <w:t>British Columbia</w:t>
            </w:r>
          </w:p>
        </w:tc>
        <w:tc>
          <w:tcPr>
            <w:tcW w:w="4780" w:type="dxa"/>
            <w:vAlign w:val="bottom"/>
            <w:tcBorders>
              <w:top w:val="single" w:sz="8" w:color="auto"/>
              <w:right w:val="single" w:sz="8" w:color="auto"/>
            </w:tcBorders>
          </w:tcPr>
          <w:p>
            <w:pPr>
              <w:spacing w:after="0"/>
              <w:rPr>
                <w:sz w:val="21"/>
                <w:szCs w:val="21"/>
                <w:color w:val="auto"/>
              </w:rPr>
            </w:pPr>
          </w:p>
        </w:tc>
      </w:tr>
      <w:tr>
        <w:trPr>
          <w:trHeight w:val="258"/>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EMPLOYEE HOUSING LTD.</w:t>
            </w: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438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color w:val="auto"/>
              </w:rPr>
              <w:t>WHISTLER BLACKCOMB GENERAL PARTNER</w:t>
            </w:r>
          </w:p>
        </w:tc>
        <w:tc>
          <w:tcPr>
            <w:tcW w:w="2280" w:type="dxa"/>
            <w:vAlign w:val="bottom"/>
            <w:tcBorders>
              <w:right w:val="single" w:sz="8" w:color="auto"/>
            </w:tcBorders>
          </w:tcPr>
          <w:p>
            <w:pPr>
              <w:ind w:left="440"/>
              <w:spacing w:after="0" w:line="228" w:lineRule="exact"/>
              <w:rPr>
                <w:sz w:val="20"/>
                <w:szCs w:val="20"/>
                <w:color w:val="auto"/>
              </w:rPr>
            </w:pPr>
            <w:r>
              <w:rPr>
                <w:rFonts w:ascii="Times New Roman" w:cs="Times New Roman" w:eastAsia="Times New Roman" w:hAnsi="Times New Roman"/>
                <w:sz w:val="20"/>
                <w:szCs w:val="20"/>
                <w:color w:val="auto"/>
              </w:rPr>
              <w:t>British Columbia</w:t>
            </w:r>
          </w:p>
        </w:tc>
        <w:tc>
          <w:tcPr>
            <w:tcW w:w="4780" w:type="dxa"/>
            <w:vAlign w:val="bottom"/>
            <w:tcBorders>
              <w:right w:val="single" w:sz="8" w:color="auto"/>
            </w:tcBorders>
          </w:tcPr>
          <w:p>
            <w:pPr>
              <w:spacing w:after="0"/>
              <w:rPr>
                <w:sz w:val="19"/>
                <w:szCs w:val="19"/>
                <w:color w:val="auto"/>
              </w:rPr>
            </w:pPr>
          </w:p>
        </w:tc>
      </w:tr>
      <w:tr>
        <w:trPr>
          <w:trHeight w:val="258"/>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LTD.</w:t>
            </w: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WHISTLER HELI-SKIING LTD.</w:t>
            </w:r>
          </w:p>
        </w:tc>
        <w:tc>
          <w:tcPr>
            <w:tcW w:w="228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20"/>
                <w:szCs w:val="20"/>
                <w:color w:val="auto"/>
              </w:rPr>
              <w:t>British Columbia</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438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color w:val="auto"/>
              </w:rPr>
              <w:t>WHISTLER MOUNTAIN RESORT LIMITED</w:t>
            </w:r>
          </w:p>
        </w:tc>
        <w:tc>
          <w:tcPr>
            <w:tcW w:w="2280" w:type="dxa"/>
            <w:vAlign w:val="bottom"/>
            <w:tcBorders>
              <w:right w:val="single" w:sz="8" w:color="auto"/>
            </w:tcBorders>
          </w:tcPr>
          <w:p>
            <w:pPr>
              <w:ind w:left="440"/>
              <w:spacing w:after="0" w:line="228" w:lineRule="exact"/>
              <w:rPr>
                <w:sz w:val="20"/>
                <w:szCs w:val="20"/>
                <w:color w:val="auto"/>
              </w:rPr>
            </w:pPr>
            <w:r>
              <w:rPr>
                <w:rFonts w:ascii="Times New Roman" w:cs="Times New Roman" w:eastAsia="Times New Roman" w:hAnsi="Times New Roman"/>
                <w:sz w:val="20"/>
                <w:szCs w:val="20"/>
                <w:color w:val="auto"/>
              </w:rPr>
              <w:t>British Columbia</w:t>
            </w:r>
          </w:p>
        </w:tc>
        <w:tc>
          <w:tcPr>
            <w:tcW w:w="4780" w:type="dxa"/>
            <w:vAlign w:val="bottom"/>
            <w:tcBorders>
              <w:right w:val="single" w:sz="8" w:color="auto"/>
            </w:tcBorders>
          </w:tcPr>
          <w:p>
            <w:pPr>
              <w:spacing w:after="0"/>
              <w:rPr>
                <w:sz w:val="19"/>
                <w:szCs w:val="19"/>
                <w:color w:val="auto"/>
              </w:rPr>
            </w:pPr>
          </w:p>
        </w:tc>
      </w:tr>
      <w:tr>
        <w:trPr>
          <w:trHeight w:val="258"/>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PARTNERSHIP</w:t>
            </w:r>
          </w:p>
        </w:tc>
        <w:tc>
          <w:tcPr>
            <w:tcW w:w="2280" w:type="dxa"/>
            <w:vAlign w:val="bottom"/>
            <w:tcBorders>
              <w:right w:val="single" w:sz="8" w:color="auto"/>
            </w:tcBorders>
          </w:tcPr>
          <w:p>
            <w:pPr>
              <w:spacing w:after="0"/>
              <w:rPr>
                <w:sz w:val="22"/>
                <w:szCs w:val="22"/>
                <w:color w:val="auto"/>
              </w:rPr>
            </w:pP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4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WHISTLER SKI SCHOOL LTD.</w:t>
            </w:r>
          </w:p>
        </w:tc>
        <w:tc>
          <w:tcPr>
            <w:tcW w:w="228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20"/>
                <w:szCs w:val="20"/>
                <w:color w:val="auto"/>
              </w:rPr>
              <w:t>British Columbia</w:t>
            </w:r>
          </w:p>
        </w:tc>
        <w:tc>
          <w:tcPr>
            <w:tcW w:w="4780" w:type="dxa"/>
            <w:vAlign w:val="bottom"/>
            <w:tcBorders>
              <w:right w:val="single" w:sz="8" w:color="auto"/>
            </w:tcBorders>
          </w:tcPr>
          <w:p>
            <w:pPr>
              <w:spacing w:after="0"/>
              <w:rPr>
                <w:sz w:val="22"/>
                <w:szCs w:val="22"/>
                <w:color w:val="auto"/>
              </w:rPr>
            </w:pPr>
          </w:p>
        </w:tc>
      </w:tr>
      <w:tr>
        <w:trPr>
          <w:trHeight w:val="21"/>
        </w:trPr>
        <w:tc>
          <w:tcPr>
            <w:tcW w:w="4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780" w:type="dxa"/>
            <w:vAlign w:val="bottom"/>
            <w:tcBorders>
              <w:bottom w:val="single" w:sz="8" w:color="auto"/>
              <w:right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Includes only those entities owned 50% or greater.</w:t>
      </w:r>
    </w:p>
    <w:p>
      <w:pPr>
        <w:sectPr>
          <w:pgSz w:w="11900" w:h="16838" w:orient="portrait"/>
          <w:cols w:equalWidth="0" w:num="1">
            <w:col w:w="11440"/>
          </w:cols>
          <w:pgMar w:left="240" w:top="714" w:right="21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(Nos. 333-145934, 333-169552, and 333-208357) of Vail Resorts, Inc. of our report dated September 27, 2017 relating to the consolidated financial statements and the effectiveness of internal control over financial reporting, which appears in this Form 10-K.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/s/PricewaterhouseCoopers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27, 2017</w:t>
      </w:r>
    </w:p>
    <w:p>
      <w:pPr>
        <w:sectPr>
          <w:pgSz w:w="11900" w:h="16838" w:orient="portrait"/>
          <w:cols w:equalWidth="0" w:num="1">
            <w:col w:w="11420"/>
          </w:cols>
          <w:pgMar w:left="240" w:top="630" w:right="2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Katz, certify that:</w:t>
      </w:r>
    </w:p>
    <w:p>
      <w:pPr>
        <w:spacing w:after="0" w:line="387" w:lineRule="exact"/>
        <w:rPr>
          <w:sz w:val="20"/>
          <w:szCs w:val="20"/>
          <w:color w:val="auto"/>
        </w:rPr>
      </w:pPr>
    </w:p>
    <w:p>
      <w:pPr>
        <w:ind w:left="500" w:hanging="195"/>
        <w:spacing w:after="0"/>
        <w:tabs>
          <w:tab w:leader="none" w:pos="5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Vail Resorts, Inc.;</w:t>
      </w:r>
    </w:p>
    <w:p>
      <w:pPr>
        <w:spacing w:after="0" w:line="63" w:lineRule="exact"/>
        <w:rPr>
          <w:rFonts w:ascii="Times New Roman" w:cs="Times New Roman" w:eastAsia="Times New Roman" w:hAnsi="Times New Roman"/>
          <w:sz w:val="18"/>
          <w:szCs w:val="18"/>
          <w:color w:val="auto"/>
        </w:rPr>
      </w:pPr>
    </w:p>
    <w:p>
      <w:pPr>
        <w:jc w:val="both"/>
        <w:ind w:left="500" w:right="40" w:hanging="195"/>
        <w:spacing w:after="0" w:line="266" w:lineRule="auto"/>
        <w:tabs>
          <w:tab w:leader="none" w:pos="5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 w:lineRule="exact"/>
        <w:rPr>
          <w:rFonts w:ascii="Times New Roman" w:cs="Times New Roman" w:eastAsia="Times New Roman" w:hAnsi="Times New Roman"/>
          <w:sz w:val="18"/>
          <w:szCs w:val="18"/>
          <w:color w:val="auto"/>
        </w:rPr>
      </w:pPr>
    </w:p>
    <w:p>
      <w:pPr>
        <w:ind w:left="500" w:right="20" w:hanging="195"/>
        <w:spacing w:after="0" w:line="281" w:lineRule="auto"/>
        <w:tabs>
          <w:tab w:leader="none" w:pos="5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jc w:val="both"/>
        <w:ind w:left="500" w:right="20" w:hanging="195"/>
        <w:spacing w:after="0" w:line="266" w:lineRule="auto"/>
        <w:tabs>
          <w:tab w:leader="none" w:pos="5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 w:lineRule="exact"/>
        <w:rPr>
          <w:rFonts w:ascii="Times New Roman" w:cs="Times New Roman" w:eastAsia="Times New Roman" w:hAnsi="Times New Roman"/>
          <w:sz w:val="18"/>
          <w:szCs w:val="18"/>
          <w:color w:val="auto"/>
        </w:rPr>
      </w:pPr>
    </w:p>
    <w:p>
      <w:pPr>
        <w:jc w:val="both"/>
        <w:ind w:left="1180" w:right="40" w:hanging="686"/>
        <w:spacing w:after="0" w:line="266" w:lineRule="auto"/>
        <w:tabs>
          <w:tab w:leader="none" w:pos="118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 w:lineRule="exact"/>
        <w:rPr>
          <w:rFonts w:ascii="Times New Roman" w:cs="Times New Roman" w:eastAsia="Times New Roman" w:hAnsi="Times New Roman"/>
          <w:sz w:val="18"/>
          <w:szCs w:val="18"/>
          <w:color w:val="auto"/>
        </w:rPr>
      </w:pPr>
    </w:p>
    <w:p>
      <w:pPr>
        <w:jc w:val="both"/>
        <w:ind w:left="1180" w:right="20" w:hanging="686"/>
        <w:spacing w:after="0" w:line="266" w:lineRule="auto"/>
        <w:tabs>
          <w:tab w:leader="none" w:pos="118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 w:lineRule="exact"/>
        <w:rPr>
          <w:rFonts w:ascii="Times New Roman" w:cs="Times New Roman" w:eastAsia="Times New Roman" w:hAnsi="Times New Roman"/>
          <w:sz w:val="18"/>
          <w:szCs w:val="18"/>
          <w:color w:val="auto"/>
        </w:rPr>
      </w:pPr>
    </w:p>
    <w:p>
      <w:pPr>
        <w:ind w:left="1180" w:right="40" w:hanging="686"/>
        <w:spacing w:after="0" w:line="281" w:lineRule="auto"/>
        <w:tabs>
          <w:tab w:leader="none" w:pos="118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1180" w:right="40" w:hanging="686"/>
        <w:spacing w:after="0" w:line="266" w:lineRule="auto"/>
        <w:tabs>
          <w:tab w:leader="none" w:pos="118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rFonts w:ascii="Times New Roman" w:cs="Times New Roman" w:eastAsia="Times New Roman" w:hAnsi="Times New Roman"/>
          <w:sz w:val="18"/>
          <w:szCs w:val="18"/>
          <w:color w:val="auto"/>
        </w:rPr>
      </w:pPr>
    </w:p>
    <w:p>
      <w:pPr>
        <w:ind w:left="500" w:right="40" w:hanging="195"/>
        <w:spacing w:after="0" w:line="281" w:lineRule="auto"/>
        <w:tabs>
          <w:tab w:leader="none" w:pos="5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180" w:right="40" w:hanging="686"/>
        <w:spacing w:after="0" w:line="281" w:lineRule="auto"/>
        <w:tabs>
          <w:tab w:leader="none" w:pos="118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180" w:right="40" w:hanging="686"/>
        <w:spacing w:after="0" w:line="282" w:lineRule="auto"/>
        <w:tabs>
          <w:tab w:leader="none" w:pos="118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September 28, 2017</w:t>
      </w:r>
    </w:p>
    <w:p>
      <w:pPr>
        <w:spacing w:after="0" w:line="63"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Robert A. Katz</w:t>
      </w:r>
    </w:p>
    <w:p>
      <w:pPr>
        <w:spacing w:after="0" w:line="63"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Z. Barkin, certify that:</w:t>
      </w:r>
    </w:p>
    <w:p>
      <w:pPr>
        <w:spacing w:after="0" w:line="387" w:lineRule="exact"/>
        <w:rPr>
          <w:sz w:val="20"/>
          <w:szCs w:val="20"/>
          <w:color w:val="auto"/>
        </w:rPr>
      </w:pPr>
    </w:p>
    <w:p>
      <w:pPr>
        <w:ind w:left="500" w:hanging="195"/>
        <w:spacing w:after="0"/>
        <w:tabs>
          <w:tab w:leader="none" w:pos="5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Vail Resorts, Inc.;</w:t>
      </w:r>
    </w:p>
    <w:p>
      <w:pPr>
        <w:spacing w:after="0" w:line="63" w:lineRule="exact"/>
        <w:rPr>
          <w:rFonts w:ascii="Times New Roman" w:cs="Times New Roman" w:eastAsia="Times New Roman" w:hAnsi="Times New Roman"/>
          <w:sz w:val="18"/>
          <w:szCs w:val="18"/>
          <w:color w:val="auto"/>
        </w:rPr>
      </w:pPr>
    </w:p>
    <w:p>
      <w:pPr>
        <w:jc w:val="both"/>
        <w:ind w:left="500" w:right="40" w:hanging="195"/>
        <w:spacing w:after="0" w:line="266" w:lineRule="auto"/>
        <w:tabs>
          <w:tab w:leader="none" w:pos="5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 w:lineRule="exact"/>
        <w:rPr>
          <w:rFonts w:ascii="Times New Roman" w:cs="Times New Roman" w:eastAsia="Times New Roman" w:hAnsi="Times New Roman"/>
          <w:sz w:val="18"/>
          <w:szCs w:val="18"/>
          <w:color w:val="auto"/>
        </w:rPr>
      </w:pPr>
    </w:p>
    <w:p>
      <w:pPr>
        <w:ind w:left="500" w:right="20" w:hanging="195"/>
        <w:spacing w:after="0" w:line="281" w:lineRule="auto"/>
        <w:tabs>
          <w:tab w:leader="none" w:pos="5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jc w:val="both"/>
        <w:ind w:left="500" w:right="20" w:hanging="195"/>
        <w:spacing w:after="0" w:line="266" w:lineRule="auto"/>
        <w:tabs>
          <w:tab w:leader="none" w:pos="5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 w:lineRule="exact"/>
        <w:rPr>
          <w:rFonts w:ascii="Times New Roman" w:cs="Times New Roman" w:eastAsia="Times New Roman" w:hAnsi="Times New Roman"/>
          <w:sz w:val="18"/>
          <w:szCs w:val="18"/>
          <w:color w:val="auto"/>
        </w:rPr>
      </w:pPr>
    </w:p>
    <w:p>
      <w:pPr>
        <w:jc w:val="both"/>
        <w:ind w:left="1180" w:right="40" w:hanging="686"/>
        <w:spacing w:after="0" w:line="266" w:lineRule="auto"/>
        <w:tabs>
          <w:tab w:leader="none" w:pos="118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 w:lineRule="exact"/>
        <w:rPr>
          <w:rFonts w:ascii="Times New Roman" w:cs="Times New Roman" w:eastAsia="Times New Roman" w:hAnsi="Times New Roman"/>
          <w:sz w:val="18"/>
          <w:szCs w:val="18"/>
          <w:color w:val="auto"/>
        </w:rPr>
      </w:pPr>
    </w:p>
    <w:p>
      <w:pPr>
        <w:jc w:val="both"/>
        <w:ind w:left="1180" w:right="20" w:hanging="686"/>
        <w:spacing w:after="0" w:line="266" w:lineRule="auto"/>
        <w:tabs>
          <w:tab w:leader="none" w:pos="118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 w:lineRule="exact"/>
        <w:rPr>
          <w:rFonts w:ascii="Times New Roman" w:cs="Times New Roman" w:eastAsia="Times New Roman" w:hAnsi="Times New Roman"/>
          <w:sz w:val="18"/>
          <w:szCs w:val="18"/>
          <w:color w:val="auto"/>
        </w:rPr>
      </w:pPr>
    </w:p>
    <w:p>
      <w:pPr>
        <w:ind w:left="1180" w:right="40" w:hanging="686"/>
        <w:spacing w:after="0" w:line="281" w:lineRule="auto"/>
        <w:tabs>
          <w:tab w:leader="none" w:pos="118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1180" w:right="40" w:hanging="686"/>
        <w:spacing w:after="0" w:line="266" w:lineRule="auto"/>
        <w:tabs>
          <w:tab w:leader="none" w:pos="118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rFonts w:ascii="Times New Roman" w:cs="Times New Roman" w:eastAsia="Times New Roman" w:hAnsi="Times New Roman"/>
          <w:sz w:val="18"/>
          <w:szCs w:val="18"/>
          <w:color w:val="auto"/>
        </w:rPr>
      </w:pPr>
    </w:p>
    <w:p>
      <w:pPr>
        <w:ind w:left="500" w:right="40" w:hanging="195"/>
        <w:spacing w:after="0" w:line="281" w:lineRule="auto"/>
        <w:tabs>
          <w:tab w:leader="none" w:pos="5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180" w:right="40" w:hanging="686"/>
        <w:spacing w:after="0" w:line="281" w:lineRule="auto"/>
        <w:tabs>
          <w:tab w:leader="none" w:pos="118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180" w:right="40" w:hanging="686"/>
        <w:spacing w:after="0" w:line="282" w:lineRule="auto"/>
        <w:tabs>
          <w:tab w:leader="none" w:pos="118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September 28, 2017</w:t>
      </w:r>
    </w:p>
    <w:p>
      <w:pPr>
        <w:spacing w:after="0" w:line="63"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0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Michael Z. Barkin</w:t>
      </w:r>
    </w:p>
    <w:p>
      <w:pPr>
        <w:spacing w:after="0" w:line="63"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420"/>
          </w:cols>
          <w:pgMar w:left="240" w:top="860" w:right="2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THE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Section 906 of the Sarbanes-Oxley Act of 2002, each of the undersigned hereby certifies in his capacity as an officer of Vail Resorts, Inc. (the “Company”) that the Company's Annual Report on Form 10-K for the year ended July 31, 2017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w:t>
      </w:r>
    </w:p>
    <w:p>
      <w:pPr>
        <w:spacing w:after="0" w:line="3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September 28, 2017</w:t>
      </w:r>
    </w:p>
    <w:p>
      <w:pPr>
        <w:spacing w:after="0" w:line="63"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Robert A. Katz</w:t>
      </w:r>
    </w:p>
    <w:p>
      <w:pPr>
        <w:spacing w:after="0" w:line="63"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September 28, 2017</w:t>
      </w:r>
    </w:p>
    <w:p>
      <w:pPr>
        <w:spacing w:after="0" w:line="63"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Michael Z. Barkin</w:t>
      </w:r>
    </w:p>
    <w:p>
      <w:pPr>
        <w:spacing w:after="0" w:line="63"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certification is being furnished solely pursuant to Section 906 of the Sarbanes-Oxley Act of 2002, is not a part of the Form 10-K to which it refers, and is, to the extent permitted by law, provided by each of the above signatories to the extent of his respective knowledge. This certification is not deemed filed with the Securities and Exchange Commission and is not to be incorporated by reference into any filing of Vail Resorts, Inc. under the Securities Act of 1933, as amended, or the Securities Exchange Act of 1934, as amended (whether made before or after the date of the Form 10-K), irrespective of any general incorporation language contained in such filing. A signed original of this written statement required by Section 906 has been provided to Vail Resorts, Inc. and will be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6AB60F"/>
    <w:multiLevelType w:val="hybridMultilevel"/>
    <w:lvl w:ilvl="0">
      <w:lvlJc w:val="left"/>
      <w:lvlText w:val="☒"/>
      <w:numFmt w:val="bullet"/>
      <w:start w:val="1"/>
    </w:lvl>
  </w:abstractNum>
  <w:abstractNum w:abstractNumId="1">
    <w:nsid w:val="61574095"/>
    <w:multiLevelType w:val="hybridMultilevel"/>
    <w:lvl w:ilvl="0">
      <w:lvlJc w:val="left"/>
      <w:lvlText w:val="☐"/>
      <w:numFmt w:val="bullet"/>
      <w:start w:val="1"/>
    </w:lvl>
  </w:abstractNum>
  <w:abstractNum w:abstractNumId="2">
    <w:nsid w:val="7E0C57B1"/>
    <w:multiLevelType w:val="hybridMultilevel"/>
    <w:lvl w:ilvl="0">
      <w:lvlJc w:val="left"/>
      <w:lvlText w:val="☐"/>
      <w:numFmt w:val="bullet"/>
      <w:start w:val="1"/>
    </w:lvl>
  </w:abstractNum>
  <w:abstractNum w:abstractNumId="3">
    <w:nsid w:val="77AE35EB"/>
    <w:multiLevelType w:val="hybridMultilevel"/>
    <w:lvl w:ilvl="0">
      <w:lvlJc w:val="left"/>
      <w:lvlText w:val="•"/>
      <w:numFmt w:val="bullet"/>
      <w:start w:val="1"/>
    </w:lvl>
  </w:abstractNum>
  <w:abstractNum w:abstractNumId="4">
    <w:nsid w:val="579BE4F1"/>
    <w:multiLevelType w:val="hybridMultilevel"/>
    <w:lvl w:ilvl="0">
      <w:lvlJc w:val="left"/>
      <w:lvlText w:val="•"/>
      <w:numFmt w:val="bullet"/>
      <w:start w:val="1"/>
    </w:lvl>
  </w:abstractNum>
  <w:abstractNum w:abstractNumId="5">
    <w:nsid w:val="310C50B3"/>
    <w:multiLevelType w:val="hybridMultilevel"/>
    <w:lvl w:ilvl="0">
      <w:lvlJc w:val="left"/>
      <w:lvlText w:val="•"/>
      <w:numFmt w:val="bullet"/>
      <w:start w:val="1"/>
    </w:lvl>
  </w:abstractNum>
  <w:abstractNum w:abstractNumId="6">
    <w:nsid w:val="5FF87E05"/>
    <w:multiLevelType w:val="hybridMultilevel"/>
    <w:lvl w:ilvl="0">
      <w:lvlJc w:val="left"/>
      <w:lvlText w:val="•"/>
      <w:numFmt w:val="bullet"/>
      <w:start w:val="1"/>
    </w:lvl>
  </w:abstractNum>
  <w:abstractNum w:abstractNumId="7">
    <w:nsid w:val="2F305DEF"/>
    <w:multiLevelType w:val="hybridMultilevel"/>
    <w:lvl w:ilvl="0">
      <w:lvlJc w:val="left"/>
      <w:lvlText w:val="•"/>
      <w:numFmt w:val="bullet"/>
      <w:start w:val="1"/>
    </w:lvl>
  </w:abstractNum>
  <w:abstractNum w:abstractNumId="8">
    <w:nsid w:val="25A70BF7"/>
    <w:multiLevelType w:val="hybridMultilevel"/>
    <w:lvl w:ilvl="0">
      <w:lvlJc w:val="left"/>
      <w:lvlText w:val="•"/>
      <w:numFmt w:val="bullet"/>
      <w:start w:val="1"/>
    </w:lvl>
  </w:abstractNum>
  <w:abstractNum w:abstractNumId="9">
    <w:nsid w:val="1DBABF00"/>
    <w:multiLevelType w:val="hybridMultilevel"/>
    <w:lvl w:ilvl="0">
      <w:lvlJc w:val="left"/>
      <w:lvlText w:val="•"/>
      <w:numFmt w:val="bullet"/>
      <w:start w:val="1"/>
    </w:lvl>
  </w:abstractNum>
  <w:abstractNum w:abstractNumId="10">
    <w:nsid w:val="4AD084E9"/>
    <w:multiLevelType w:val="hybridMultilevel"/>
    <w:lvl w:ilvl="0">
      <w:lvlJc w:val="left"/>
      <w:lvlText w:val="•"/>
      <w:numFmt w:val="bullet"/>
      <w:start w:val="1"/>
    </w:lvl>
  </w:abstractNum>
  <w:abstractNum w:abstractNumId="11">
    <w:nsid w:val="1F48EAA1"/>
    <w:multiLevelType w:val="hybridMultilevel"/>
    <w:lvl w:ilvl="0">
      <w:lvlJc w:val="left"/>
      <w:lvlText w:val="•"/>
      <w:numFmt w:val="bullet"/>
      <w:start w:val="1"/>
    </w:lvl>
  </w:abstractNum>
  <w:abstractNum w:abstractNumId="12">
    <w:nsid w:val="1381823A"/>
    <w:multiLevelType w:val="hybridMultilevel"/>
    <w:lvl w:ilvl="0">
      <w:lvlJc w:val="left"/>
      <w:lvlText w:val="•"/>
      <w:numFmt w:val="bullet"/>
      <w:start w:val="1"/>
    </w:lvl>
  </w:abstractNum>
  <w:abstractNum w:abstractNumId="13">
    <w:nsid w:val="5DB70AE5"/>
    <w:multiLevelType w:val="hybridMultilevel"/>
    <w:lvl w:ilvl="0">
      <w:lvlJc w:val="left"/>
      <w:lvlText w:val="•"/>
      <w:numFmt w:val="bullet"/>
      <w:start w:val="1"/>
    </w:lvl>
  </w:abstractNum>
  <w:abstractNum w:abstractNumId="14">
    <w:nsid w:val="100F8FCA"/>
    <w:multiLevelType w:val="hybridMultilevel"/>
    <w:lvl w:ilvl="0">
      <w:lvlJc w:val="left"/>
      <w:lvlText w:val="•"/>
      <w:numFmt w:val="bullet"/>
      <w:start w:val="1"/>
    </w:lvl>
  </w:abstractNum>
  <w:abstractNum w:abstractNumId="15">
    <w:nsid w:val="6590700B"/>
    <w:multiLevelType w:val="hybridMultilevel"/>
    <w:lvl w:ilvl="0">
      <w:lvlJc w:val="left"/>
      <w:lvlText w:val="•"/>
      <w:numFmt w:val="bullet"/>
      <w:start w:val="1"/>
    </w:lvl>
  </w:abstractNum>
  <w:abstractNum w:abstractNumId="16">
    <w:nsid w:val="15014ACB"/>
    <w:multiLevelType w:val="hybridMultilevel"/>
    <w:lvl w:ilvl="0">
      <w:lvlJc w:val="left"/>
      <w:lvlText w:val="(%1)"/>
      <w:numFmt w:val="decimal"/>
      <w:start w:val="1"/>
    </w:lvl>
  </w:abstractNum>
  <w:abstractNum w:abstractNumId="17">
    <w:nsid w:val="5F5E7FD0"/>
    <w:multiLevelType w:val="hybridMultilevel"/>
    <w:lvl w:ilvl="0">
      <w:lvlJc w:val="left"/>
      <w:lvlText w:val="•"/>
      <w:numFmt w:val="bullet"/>
      <w:start w:val="1"/>
    </w:lvl>
  </w:abstractNum>
  <w:abstractNum w:abstractNumId="18">
    <w:nsid w:val="98A3148"/>
    <w:multiLevelType w:val="hybridMultilevel"/>
    <w:lvl w:ilvl="0">
      <w:lvlJc w:val="left"/>
      <w:lvlText w:val="•"/>
      <w:numFmt w:val="bullet"/>
      <w:start w:val="1"/>
    </w:lvl>
  </w:abstractNum>
  <w:abstractNum w:abstractNumId="19">
    <w:nsid w:val="799D0247"/>
    <w:multiLevelType w:val="hybridMultilevel"/>
    <w:lvl w:ilvl="0">
      <w:lvlJc w:val="left"/>
      <w:lvlText w:val="•"/>
      <w:numFmt w:val="bullet"/>
      <w:start w:val="1"/>
    </w:lvl>
  </w:abstractNum>
  <w:abstractNum w:abstractNumId="20">
    <w:nsid w:val="6B94764"/>
    <w:multiLevelType w:val="hybridMultilevel"/>
    <w:lvl w:ilvl="0">
      <w:lvlJc w:val="left"/>
      <w:lvlText w:val="•"/>
      <w:numFmt w:val="bullet"/>
      <w:start w:val="1"/>
    </w:lvl>
  </w:abstractNum>
  <w:abstractNum w:abstractNumId="21">
    <w:nsid w:val="42C296BD"/>
    <w:multiLevelType w:val="hybridMultilevel"/>
    <w:lvl w:ilvl="0">
      <w:lvlJc w:val="left"/>
      <w:lvlText w:val="•"/>
      <w:numFmt w:val="bullet"/>
      <w:start w:val="1"/>
    </w:lvl>
  </w:abstractNum>
  <w:abstractNum w:abstractNumId="22">
    <w:nsid w:val="168E121F"/>
    <w:multiLevelType w:val="hybridMultilevel"/>
    <w:lvl w:ilvl="0">
      <w:lvlJc w:val="left"/>
      <w:lvlText w:val="•"/>
      <w:numFmt w:val="bullet"/>
      <w:start w:val="1"/>
    </w:lvl>
  </w:abstractNum>
  <w:abstractNum w:abstractNumId="23">
    <w:nsid w:val="1EBA5D23"/>
    <w:multiLevelType w:val="hybridMultilevel"/>
    <w:lvl w:ilvl="0">
      <w:lvlJc w:val="left"/>
      <w:lvlText w:val="•"/>
      <w:numFmt w:val="bullet"/>
      <w:start w:val="1"/>
    </w:lvl>
  </w:abstractNum>
  <w:abstractNum w:abstractNumId="24">
    <w:nsid w:val="661E3F1E"/>
    <w:multiLevelType w:val="hybridMultilevel"/>
    <w:lvl w:ilvl="0">
      <w:lvlJc w:val="left"/>
      <w:lvlText w:val="•"/>
      <w:numFmt w:val="bullet"/>
      <w:start w:val="1"/>
    </w:lvl>
  </w:abstractNum>
  <w:abstractNum w:abstractNumId="25">
    <w:nsid w:val="5DC79EA8"/>
    <w:multiLevelType w:val="hybridMultilevel"/>
    <w:lvl w:ilvl="0">
      <w:lvlJc w:val="left"/>
      <w:lvlText w:val="•"/>
      <w:numFmt w:val="bullet"/>
      <w:start w:val="1"/>
    </w:lvl>
  </w:abstractNum>
  <w:abstractNum w:abstractNumId="26">
    <w:nsid w:val="540A471C"/>
    <w:multiLevelType w:val="hybridMultilevel"/>
    <w:lvl w:ilvl="0">
      <w:lvlJc w:val="left"/>
      <w:lvlText w:val="•"/>
      <w:numFmt w:val="bullet"/>
      <w:start w:val="1"/>
    </w:lvl>
  </w:abstractNum>
  <w:abstractNum w:abstractNumId="27">
    <w:nsid w:val="7BD3EE7B"/>
    <w:multiLevelType w:val="hybridMultilevel"/>
    <w:lvl w:ilvl="0">
      <w:lvlJc w:val="left"/>
      <w:lvlText w:val="(%1)"/>
      <w:numFmt w:val="decimal"/>
      <w:start w:val="1"/>
    </w:lvl>
  </w:abstractNum>
  <w:abstractNum w:abstractNumId="28">
    <w:nsid w:val="51D9C564"/>
    <w:multiLevelType w:val="hybridMultilevel"/>
    <w:lvl w:ilvl="0">
      <w:lvlJc w:val="left"/>
      <w:lvlText w:val="(%1)"/>
      <w:numFmt w:val="decimal"/>
      <w:start w:val="3"/>
    </w:lvl>
  </w:abstractNum>
  <w:abstractNum w:abstractNumId="29">
    <w:nsid w:val="613EFDC5"/>
    <w:multiLevelType w:val="hybridMultilevel"/>
    <w:lvl w:ilvl="0">
      <w:lvlJc w:val="left"/>
      <w:lvlText w:val="(%1)"/>
      <w:numFmt w:val="decimal"/>
      <w:start w:val="4"/>
    </w:lvl>
  </w:abstractNum>
  <w:abstractNum w:abstractNumId="30">
    <w:nsid w:val="BF72B14"/>
    <w:multiLevelType w:val="hybridMultilevel"/>
    <w:lvl w:ilvl="0">
      <w:lvlJc w:val="left"/>
      <w:lvlText w:val="(%1)"/>
      <w:numFmt w:val="decimal"/>
      <w:start w:val="1"/>
    </w:lvl>
  </w:abstractNum>
  <w:abstractNum w:abstractNumId="31">
    <w:nsid w:val="11447B73"/>
    <w:multiLevelType w:val="hybridMultilevel"/>
    <w:lvl w:ilvl="0">
      <w:lvlJc w:val="left"/>
      <w:lvlText w:val="(%1)"/>
      <w:numFmt w:val="decimal"/>
      <w:start w:val="9"/>
    </w:lvl>
  </w:abstractNum>
  <w:abstractNum w:abstractNumId="32">
    <w:nsid w:val="42963E5A"/>
    <w:multiLevelType w:val="hybridMultilevel"/>
    <w:lvl w:ilvl="0">
      <w:lvlJc w:val="left"/>
      <w:lvlText w:val="•"/>
      <w:numFmt w:val="bullet"/>
      <w:start w:val="1"/>
    </w:lvl>
  </w:abstractNum>
  <w:abstractNum w:abstractNumId="33">
    <w:nsid w:val="A0382C5"/>
    <w:multiLevelType w:val="hybridMultilevel"/>
    <w:lvl w:ilvl="0">
      <w:lvlJc w:val="left"/>
      <w:lvlText w:val="•"/>
      <w:numFmt w:val="bullet"/>
      <w:start w:val="1"/>
    </w:lvl>
    <w:lvl w:ilvl="1">
      <w:lvlJc w:val="left"/>
      <w:lvlText w:val="(%2)"/>
      <w:numFmt w:val="lowerRoman"/>
      <w:start w:val="1"/>
    </w:lvl>
  </w:abstractNum>
  <w:abstractNum w:abstractNumId="34">
    <w:nsid w:val="8F2B15E"/>
    <w:multiLevelType w:val="hybridMultilevel"/>
    <w:lvl w:ilvl="0">
      <w:lvlJc w:val="left"/>
      <w:lvlText w:val="•"/>
      <w:numFmt w:val="bullet"/>
      <w:start w:val="1"/>
    </w:lvl>
    <w:lvl w:ilvl="1">
      <w:lvlJc w:val="left"/>
      <w:lvlText w:val="(%2)"/>
      <w:numFmt w:val="lowerRoman"/>
      <w:start w:val="3"/>
    </w:lvl>
  </w:abstractNum>
  <w:abstractNum w:abstractNumId="35">
    <w:nsid w:val="1A32234B"/>
    <w:multiLevelType w:val="hybridMultilevel"/>
    <w:lvl w:ilvl="0">
      <w:lvlJc w:val="left"/>
      <w:lvlText w:val="•"/>
      <w:numFmt w:val="bullet"/>
      <w:start w:val="1"/>
    </w:lvl>
  </w:abstractNum>
  <w:abstractNum w:abstractNumId="36">
    <w:nsid w:val="3B0FD379"/>
    <w:multiLevelType w:val="hybridMultilevel"/>
    <w:lvl w:ilvl="0">
      <w:lvlJc w:val="left"/>
      <w:lvlText w:val="•"/>
      <w:numFmt w:val="bullet"/>
      <w:start w:val="1"/>
    </w:lvl>
  </w:abstractNum>
  <w:abstractNum w:abstractNumId="37">
    <w:nsid w:val="68EB2F63"/>
    <w:multiLevelType w:val="hybridMultilevel"/>
    <w:lvl w:ilvl="0">
      <w:lvlJc w:val="left"/>
      <w:lvlText w:val="(%1)"/>
      <w:numFmt w:val="decimal"/>
      <w:start w:val="1"/>
    </w:lvl>
  </w:abstractNum>
  <w:abstractNum w:abstractNumId="38">
    <w:nsid w:val="4962813B"/>
    <w:multiLevelType w:val="hybridMultilevel"/>
    <w:lvl w:ilvl="0">
      <w:lvlJc w:val="left"/>
      <w:lvlText w:val="(%1)"/>
      <w:numFmt w:val="decimal"/>
      <w:start w:val="2"/>
    </w:lvl>
  </w:abstractNum>
  <w:abstractNum w:abstractNumId="39">
    <w:nsid w:val="60B6DF70"/>
    <w:multiLevelType w:val="hybridMultilevel"/>
    <w:lvl w:ilvl="0">
      <w:lvlJc w:val="left"/>
      <w:lvlText w:val="%1."/>
      <w:numFmt w:val="decimal"/>
      <w:start w:val="1"/>
    </w:lvl>
  </w:abstractNum>
  <w:abstractNum w:abstractNumId="40">
    <w:nsid w:val="6A5EE64"/>
    <w:multiLevelType w:val="hybridMultilevel"/>
    <w:lvl w:ilvl="0">
      <w:lvlJc w:val="left"/>
      <w:lvlText w:val="%1."/>
      <w:numFmt w:val="decimal"/>
      <w:start w:val="2"/>
    </w:lvl>
  </w:abstractNum>
  <w:abstractNum w:abstractNumId="41">
    <w:nsid w:val="14330624"/>
    <w:multiLevelType w:val="hybridMultilevel"/>
    <w:lvl w:ilvl="0">
      <w:lvlJc w:val="left"/>
      <w:lvlText w:val="•"/>
      <w:numFmt w:val="bullet"/>
      <w:start w:val="1"/>
    </w:lvl>
  </w:abstractNum>
  <w:abstractNum w:abstractNumId="42">
    <w:nsid w:val="7FFFCA11"/>
    <w:multiLevelType w:val="hybridMultilevel"/>
    <w:lvl w:ilvl="0">
      <w:lvlJc w:val="left"/>
      <w:lvlText w:val="(%1)"/>
      <w:numFmt w:val="lowerLetter"/>
      <w:start w:val="1"/>
    </w:lvl>
  </w:abstractNum>
  <w:abstractNum w:abstractNumId="43">
    <w:nsid w:val="1A27709E"/>
    <w:multiLevelType w:val="hybridMultilevel"/>
    <w:lvl w:ilvl="0">
      <w:lvlJc w:val="left"/>
      <w:lvlText w:val="(%1)"/>
      <w:numFmt w:val="lowerLetter"/>
      <w:start w:val="3"/>
    </w:lvl>
  </w:abstractNum>
  <w:abstractNum w:abstractNumId="44">
    <w:nsid w:val="71EA1109"/>
    <w:multiLevelType w:val="hybridMultilevel"/>
    <w:lvl w:ilvl="0">
      <w:lvlJc w:val="left"/>
      <w:lvlText w:val="(%1)"/>
      <w:numFmt w:val="lowerLetter"/>
      <w:start w:val="4"/>
    </w:lvl>
  </w:abstractNum>
  <w:abstractNum w:abstractNumId="45">
    <w:nsid w:val="100F59DC"/>
    <w:multiLevelType w:val="hybridMultilevel"/>
    <w:lvl w:ilvl="0">
      <w:lvlJc w:val="left"/>
      <w:lvlText w:val="%1."/>
      <w:numFmt w:val="decimal"/>
      <w:start w:val="5"/>
    </w:lvl>
  </w:abstractNum>
  <w:abstractNum w:abstractNumId="46">
    <w:nsid w:val="7FB7E0AA"/>
    <w:multiLevelType w:val="hybridMultilevel"/>
    <w:lvl w:ilvl="0">
      <w:lvlJc w:val="left"/>
      <w:lvlText w:val="(%1)"/>
      <w:numFmt w:val="decimal"/>
      <w:start w:val="1"/>
    </w:lvl>
  </w:abstractNum>
  <w:abstractNum w:abstractNumId="47">
    <w:nsid w:val="6EB5BD4"/>
    <w:multiLevelType w:val="hybridMultilevel"/>
    <w:lvl w:ilvl="0">
      <w:lvlJc w:val="left"/>
      <w:lvlText w:val="%1."/>
      <w:numFmt w:val="decimal"/>
      <w:start w:val="6"/>
    </w:lvl>
  </w:abstractNum>
  <w:abstractNum w:abstractNumId="48">
    <w:nsid w:val="6F6DD9AC"/>
    <w:multiLevelType w:val="hybridMultilevel"/>
    <w:lvl w:ilvl="0">
      <w:lvlJc w:val="left"/>
      <w:lvlText w:val="%1."/>
      <w:numFmt w:val="decimal"/>
      <w:start w:val="8"/>
    </w:lvl>
  </w:abstractNum>
  <w:abstractNum w:abstractNumId="49">
    <w:nsid w:val="94211F2"/>
    <w:multiLevelType w:val="hybridMultilevel"/>
    <w:lvl w:ilvl="0">
      <w:lvlJc w:val="left"/>
      <w:lvlText w:val="%1."/>
      <w:numFmt w:val="decimal"/>
      <w:start w:val="9"/>
    </w:lvl>
  </w:abstractNum>
  <w:abstractNum w:abstractNumId="50">
    <w:nsid w:val="885E1B"/>
    <w:multiLevelType w:val="hybridMultilevel"/>
    <w:lvl w:ilvl="0">
      <w:lvlJc w:val="left"/>
      <w:lvlText w:val="%1."/>
      <w:numFmt w:val="decimal"/>
      <w:start w:val="10"/>
    </w:lvl>
  </w:abstractNum>
  <w:abstractNum w:abstractNumId="51">
    <w:nsid w:val="76272110"/>
    <w:multiLevelType w:val="hybridMultilevel"/>
    <w:lvl w:ilvl="0">
      <w:lvlJc w:val="left"/>
      <w:lvlText w:val="%1."/>
      <w:numFmt w:val="decimal"/>
      <w:start w:val="11"/>
    </w:lvl>
  </w:abstractNum>
  <w:abstractNum w:abstractNumId="52">
    <w:nsid w:val="4C04A8AF"/>
    <w:multiLevelType w:val="hybridMultilevel"/>
    <w:lvl w:ilvl="0">
      <w:lvlJc w:val="left"/>
      <w:lvlText w:val="%1."/>
      <w:numFmt w:val="decimal"/>
      <w:start w:val="12"/>
    </w:lvl>
  </w:abstractNum>
  <w:abstractNum w:abstractNumId="53">
    <w:nsid w:val="1716703B"/>
    <w:multiLevelType w:val="hybridMultilevel"/>
    <w:lvl w:ilvl="0">
      <w:lvlJc w:val="left"/>
      <w:lvlText w:val="(%1)"/>
      <w:numFmt w:val="lowerLetter"/>
      <w:start w:val="1"/>
    </w:lvl>
  </w:abstractNum>
  <w:abstractNum w:abstractNumId="54">
    <w:nsid w:val="14E17E33"/>
    <w:multiLevelType w:val="hybridMultilevel"/>
    <w:lvl w:ilvl="0">
      <w:lvlJc w:val="left"/>
      <w:lvlText w:val="%1."/>
      <w:numFmt w:val="decimal"/>
      <w:start w:val="13"/>
    </w:lvl>
  </w:abstractNum>
  <w:abstractNum w:abstractNumId="55">
    <w:nsid w:val="3222E7CD"/>
    <w:multiLevelType w:val="hybridMultilevel"/>
    <w:lvl w:ilvl="0">
      <w:lvlJc w:val="left"/>
      <w:lvlText w:val="%1."/>
      <w:numFmt w:val="decimal"/>
      <w:start w:val="14"/>
    </w:lvl>
  </w:abstractNum>
  <w:abstractNum w:abstractNumId="56">
    <w:nsid w:val="74DE0EE3"/>
    <w:multiLevelType w:val="hybridMultilevel"/>
    <w:lvl w:ilvl="0">
      <w:lvlJc w:val="left"/>
      <w:lvlText w:val="%1."/>
      <w:numFmt w:val="decimal"/>
      <w:start w:val="15"/>
    </w:lvl>
  </w:abstractNum>
  <w:abstractNum w:abstractNumId="57">
    <w:nsid w:val="68EBC550"/>
    <w:multiLevelType w:val="hybridMultilevel"/>
    <w:lvl w:ilvl="0">
      <w:lvlJc w:val="left"/>
      <w:lvlText w:val="%1."/>
      <w:numFmt w:val="decimal"/>
      <w:start w:val="16"/>
    </w:lvl>
  </w:abstractNum>
  <w:abstractNum w:abstractNumId="58">
    <w:nsid w:val="2DF6D648"/>
    <w:multiLevelType w:val="hybridMultilevel"/>
    <w:lvl w:ilvl="0">
      <w:lvlJc w:val="left"/>
      <w:lvlText w:val="(%1)"/>
      <w:numFmt w:val="lowerRoman"/>
      <w:start w:val="1"/>
    </w:lvl>
  </w:abstractNum>
  <w:abstractNum w:abstractNumId="59">
    <w:nsid w:val="46B7D447"/>
    <w:multiLevelType w:val="hybridMultilevel"/>
    <w:lvl w:ilvl="0">
      <w:lvlJc w:val="left"/>
      <w:lvlText w:val="%1)"/>
      <w:numFmt w:val="lowerLetter"/>
      <w:start w:val="1"/>
    </w:lvl>
    <w:lvl w:ilvl="1">
      <w:lvlJc w:val="left"/>
      <w:lvlText w:val="(%2)"/>
      <w:numFmt w:val="decimal"/>
      <w:start w:val="1"/>
    </w:lvl>
  </w:abstractNum>
  <w:abstractNum w:abstractNumId="60">
    <w:nsid w:val="4A2AC315"/>
    <w:multiLevelType w:val="hybridMultilevel"/>
    <w:lvl w:ilvl="0">
      <w:lvlJc w:val="left"/>
      <w:lvlText w:val="%1"/>
      <w:numFmt w:val="decimal"/>
      <w:start w:val="21"/>
    </w:lvl>
  </w:abstractNum>
  <w:abstractNum w:abstractNumId="61">
    <w:nsid w:val="39EE015C"/>
    <w:multiLevelType w:val="hybridMultilevel"/>
    <w:lvl w:ilvl="0">
      <w:lvlJc w:val="left"/>
      <w:lvlText w:val="%1"/>
      <w:numFmt w:val="decimal"/>
      <w:start w:val="23"/>
    </w:lvl>
  </w:abstractNum>
  <w:abstractNum w:abstractNumId="62">
    <w:nsid w:val="57FC4FBB"/>
    <w:multiLevelType w:val="hybridMultilevel"/>
    <w:lvl w:ilvl="0">
      <w:lvlJc w:val="left"/>
      <w:lvlText w:val="%1"/>
      <w:numFmt w:val="decimal"/>
      <w:start w:val="32"/>
    </w:lvl>
  </w:abstractNum>
  <w:abstractNum w:abstractNumId="63">
    <w:nsid w:val="CC1016F"/>
    <w:multiLevelType w:val="hybridMultilevel"/>
    <w:lvl w:ilvl="0">
      <w:lvlJc w:val="left"/>
      <w:lvlText w:val="%1"/>
      <w:numFmt w:val="decimal"/>
      <w:start w:val="101"/>
    </w:lvl>
  </w:abstractNum>
  <w:abstractNum w:abstractNumId="64">
    <w:nsid w:val="43F18422"/>
    <w:multiLevelType w:val="hybridMultilevel"/>
    <w:lvl w:ilvl="0">
      <w:lvlJc w:val="left"/>
      <w:lvlText w:val="%1."/>
      <w:numFmt w:val="upperLetter"/>
      <w:start w:val="1"/>
    </w:lvl>
  </w:abstractNum>
  <w:abstractNum w:abstractNumId="65">
    <w:nsid w:val="60EF0119"/>
    <w:multiLevelType w:val="hybridMultilevel"/>
    <w:lvl w:ilvl="0">
      <w:lvlJc w:val="left"/>
      <w:lvlText w:val="%1."/>
      <w:numFmt w:val="upperLetter"/>
      <w:start w:val="8"/>
    </w:lvl>
  </w:abstractNum>
  <w:abstractNum w:abstractNumId="66">
    <w:nsid w:val="26F324BA"/>
    <w:multiLevelType w:val="hybridMultilevel"/>
    <w:lvl w:ilvl="0">
      <w:lvlJc w:val="left"/>
      <w:lvlText w:val="%1."/>
      <w:numFmt w:val="decimal"/>
      <w:start w:val="1"/>
    </w:lvl>
  </w:abstractNum>
  <w:abstractNum w:abstractNumId="67">
    <w:nsid w:val="7F01579B"/>
    <w:multiLevelType w:val="hybridMultilevel"/>
    <w:lvl w:ilvl="0">
      <w:lvlJc w:val="left"/>
      <w:lvlText w:val="%1."/>
      <w:numFmt w:val="upperLetter"/>
      <w:start w:val="1"/>
    </w:lvl>
    <w:lvl w:ilvl="1">
      <w:lvlJc w:val="left"/>
      <w:lvlText w:val="%2."/>
      <w:numFmt w:val="decimal"/>
      <w:start w:val="1"/>
    </w:lvl>
  </w:abstractNum>
  <w:abstractNum w:abstractNumId="68">
    <w:nsid w:val="49DA307D"/>
    <w:multiLevelType w:val="hybridMultilevel"/>
    <w:lvl w:ilvl="0">
      <w:lvlJc w:val="left"/>
      <w:lvlText w:val="%1."/>
      <w:numFmt w:val="upperLetter"/>
      <w:start w:val="5"/>
    </w:lvl>
  </w:abstractNum>
  <w:abstractNum w:abstractNumId="69">
    <w:nsid w:val="7055A5F5"/>
    <w:multiLevelType w:val="hybridMultilevel"/>
    <w:lvl w:ilvl="0">
      <w:lvlJc w:val="left"/>
      <w:lvlText w:val="%1."/>
      <w:numFmt w:val="upperLetter"/>
      <w:start w:val="1"/>
    </w:lvl>
  </w:abstractNum>
  <w:abstractNum w:abstractNumId="70">
    <w:nsid w:val="5FB8370B"/>
    <w:multiLevelType w:val="hybridMultilevel"/>
    <w:lvl w:ilvl="0">
      <w:lvlJc w:val="left"/>
      <w:lvlText w:val="%1."/>
      <w:numFmt w:val="upperLetter"/>
      <w:start w:val="3"/>
    </w:lvl>
  </w:abstractNum>
  <w:abstractNum w:abstractNumId="71">
    <w:nsid w:val="50801EE1"/>
    <w:multiLevelType w:val="hybridMultilevel"/>
    <w:lvl w:ilvl="0">
      <w:lvlJc w:val="left"/>
      <w:lvlText w:val="%1."/>
      <w:numFmt w:val="decimal"/>
      <w:start w:val="1"/>
    </w:lvl>
  </w:abstractNum>
  <w:abstractNum w:abstractNumId="72">
    <w:nsid w:val="488AC1A"/>
    <w:multiLevelType w:val="hybridMultilevel"/>
    <w:lvl w:ilvl="0">
      <w:lvlJc w:val="left"/>
      <w:lvlText w:val="%1"/>
      <w:numFmt w:val="upperLetter"/>
      <w:start w:val="1"/>
    </w:lvl>
    <w:lvl w:ilvl="1">
      <w:lvlJc w:val="left"/>
      <w:lvlText w:val="%2."/>
      <w:numFmt w:val="lowerLetter"/>
      <w:start w:val="1"/>
    </w:lvl>
  </w:abstractNum>
  <w:abstractNum w:abstractNumId="73">
    <w:nsid w:val="5FB8011C"/>
    <w:multiLevelType w:val="hybridMultilevel"/>
    <w:lvl w:ilvl="0">
      <w:lvlJc w:val="left"/>
      <w:lvlText w:val="%1."/>
      <w:numFmt w:val="upperLetter"/>
      <w:start w:val="4"/>
    </w:lvl>
    <w:lvl w:ilvl="1">
      <w:lvlJc w:val="left"/>
      <w:lvlText w:val="%2"/>
      <w:numFmt w:val="lowerLetter"/>
      <w:start w:val="1"/>
    </w:lvl>
  </w:abstractNum>
  <w:abstractNum w:abstractNumId="74">
    <w:nsid w:val="6AA78F7F"/>
    <w:multiLevelType w:val="hybridMultilevel"/>
    <w:lvl w:ilvl="0">
      <w:lvlJc w:val="left"/>
      <w:lvlText w:val="%1."/>
      <w:numFmt w:val="upperLetter"/>
      <w:start w:val="1"/>
    </w:lvl>
  </w:abstractNum>
  <w:abstractNum w:abstractNumId="75">
    <w:nsid w:val="7672BD23"/>
    <w:multiLevelType w:val="hybridMultilevel"/>
    <w:lvl w:ilvl="0">
      <w:lvlJc w:val="left"/>
      <w:lvlText w:val="%1."/>
      <w:numFmt w:val="upperLetter"/>
      <w:start w:val="1"/>
    </w:lvl>
  </w:abstractNum>
  <w:abstractNum w:abstractNumId="76">
    <w:nsid w:val="6FC75AF8"/>
    <w:multiLevelType w:val="hybridMultilevel"/>
    <w:lvl w:ilvl="0">
      <w:lvlJc w:val="left"/>
      <w:lvlText w:val="%1."/>
      <w:numFmt w:val="upperLetter"/>
      <w:start w:val="1"/>
    </w:lvl>
  </w:abstractNum>
  <w:abstractNum w:abstractNumId="77">
    <w:nsid w:val="6A5F7029"/>
    <w:multiLevelType w:val="hybridMultilevel"/>
    <w:lvl w:ilvl="0">
      <w:lvlJc w:val="left"/>
      <w:lvlText w:val="%1."/>
      <w:numFmt w:val="decimal"/>
      <w:start w:val="1"/>
    </w:lvl>
  </w:abstractNum>
  <w:abstractNum w:abstractNumId="78">
    <w:nsid w:val="7D5E18F8"/>
    <w:multiLevelType w:val="hybridMultilevel"/>
    <w:lvl w:ilvl="0">
      <w:lvlJc w:val="left"/>
      <w:lvlText w:val="%1."/>
      <w:numFmt w:val="decimal"/>
      <w:start w:val="2"/>
    </w:lvl>
  </w:abstractNum>
  <w:abstractNum w:abstractNumId="79">
    <w:nsid w:val="5F3534A4"/>
    <w:multiLevelType w:val="hybridMultilevel"/>
    <w:lvl w:ilvl="0">
      <w:lvlJc w:val="left"/>
      <w:lvlText w:val="%1."/>
      <w:numFmt w:val="lowerLetter"/>
      <w:start w:val="1"/>
    </w:lvl>
  </w:abstractNum>
  <w:abstractNum w:abstractNumId="80">
    <w:nsid w:val="73A1821B"/>
    <w:multiLevelType w:val="hybridMultilevel"/>
    <w:lvl w:ilvl="0">
      <w:lvlJc w:val="left"/>
      <w:lvlText w:val="%1."/>
      <w:numFmt w:val="lowerLetter"/>
      <w:start w:val="3"/>
    </w:lvl>
  </w:abstractNum>
  <w:abstractNum w:abstractNumId="81">
    <w:nsid w:val="7DE67713"/>
    <w:multiLevelType w:val="hybridMultilevel"/>
    <w:lvl w:ilvl="0">
      <w:lvlJc w:val="left"/>
      <w:lvlText w:val="%1"/>
      <w:numFmt w:val="decimal"/>
      <w:start w:val="1"/>
    </w:lvl>
    <w:lvl w:ilvl="1">
      <w:lvlJc w:val="left"/>
      <w:lvlText w:val="%2."/>
      <w:numFmt w:val="lowerLetter"/>
      <w:start w:val="4"/>
    </w:lvl>
  </w:abstractNum>
  <w:abstractNum w:abstractNumId="82">
    <w:nsid w:val="555C55B5"/>
    <w:multiLevelType w:val="hybridMultilevel"/>
    <w:lvl w:ilvl="0">
      <w:lvlJc w:val="left"/>
      <w:lvlText w:val="%1."/>
      <w:numFmt w:val="decimal"/>
      <w:start w:val="3"/>
    </w:lvl>
    <w:lvl w:ilvl="1">
      <w:lvlJc w:val="left"/>
      <w:lvlText w:val="%2."/>
      <w:numFmt w:val="lowerLetter"/>
      <w:start w:val="1"/>
    </w:lvl>
  </w:abstractNum>
  <w:abstractNum w:abstractNumId="83">
    <w:nsid w:val="3FA62ACA"/>
    <w:multiLevelType w:val="hybridMultilevel"/>
    <w:lvl w:ilvl="0">
      <w:lvlJc w:val="left"/>
      <w:lvlText w:val="%1."/>
      <w:numFmt w:val="decimal"/>
      <w:start w:val="7"/>
    </w:lvl>
  </w:abstractNum>
  <w:abstractNum w:abstractNumId="84">
    <w:nsid w:val="14FCE74E"/>
    <w:multiLevelType w:val="hybridMultilevel"/>
    <w:lvl w:ilvl="0">
      <w:lvlJc w:val="left"/>
      <w:lvlText w:val="%1."/>
      <w:numFmt w:val="upperLetter"/>
      <w:start w:val="2"/>
    </w:lvl>
    <w:lvl w:ilvl="1">
      <w:lvlJc w:val="left"/>
      <w:lvlText w:val="%2."/>
      <w:numFmt w:val="decimal"/>
      <w:start w:val="1"/>
    </w:lvl>
  </w:abstractNum>
  <w:abstractNum w:abstractNumId="85">
    <w:nsid w:val="6A3DD3E8"/>
    <w:multiLevelType w:val="hybridMultilevel"/>
    <w:lvl w:ilvl="0">
      <w:lvlJc w:val="left"/>
      <w:lvlText w:val="%1."/>
      <w:numFmt w:val="upperLetter"/>
      <w:start w:val="3"/>
    </w:lvl>
    <w:lvl w:ilvl="1">
      <w:lvlJc w:val="left"/>
      <w:lvlText w:val="%2."/>
      <w:numFmt w:val="lowerLetter"/>
      <w:start w:val="1"/>
    </w:lvl>
  </w:abstractNum>
  <w:abstractNum w:abstractNumId="86">
    <w:nsid w:val="71C91298"/>
    <w:multiLevelType w:val="hybridMultilevel"/>
    <w:lvl w:ilvl="0">
      <w:lvlJc w:val="left"/>
      <w:lvlText w:val="%1."/>
      <w:numFmt w:val="upperLetter"/>
      <w:start w:val="4"/>
    </w:lvl>
  </w:abstractNum>
  <w:abstractNum w:abstractNumId="87">
    <w:nsid w:val="9DAF632"/>
    <w:multiLevelType w:val="hybridMultilevel"/>
    <w:lvl w:ilvl="0">
      <w:lvlJc w:val="left"/>
      <w:lvlText w:val="%1."/>
      <w:numFmt w:val="upperLetter"/>
      <w:start w:val="5"/>
    </w:lvl>
  </w:abstractNum>
  <w:abstractNum w:abstractNumId="88">
    <w:nsid w:val="53299938"/>
    <w:multiLevelType w:val="hybridMultilevel"/>
    <w:lvl w:ilvl="0">
      <w:lvlJc w:val="left"/>
      <w:lvlText w:val="%1."/>
      <w:numFmt w:val="upperLetter"/>
      <w:start w:val="7"/>
    </w:lvl>
    <w:lvl w:ilvl="1">
      <w:lvlJc w:val="left"/>
      <w:lvlText w:val="%2."/>
      <w:numFmt w:val="decimal"/>
      <w:start w:val="1"/>
    </w:lvl>
  </w:abstractNum>
  <w:abstractNum w:abstractNumId="89">
    <w:nsid w:val="1FBFE8E0"/>
    <w:multiLevelType w:val="hybridMultilevel"/>
    <w:lvl w:ilvl="0">
      <w:lvlJc w:val="left"/>
      <w:lvlText w:val="%1."/>
      <w:numFmt w:val="upperLetter"/>
      <w:start w:val="1"/>
    </w:lvl>
  </w:abstractNum>
  <w:abstractNum w:abstractNumId="90">
    <w:nsid w:val="5092CA79"/>
    <w:multiLevelType w:val="hybridMultilevel"/>
    <w:lvl w:ilvl="0">
      <w:lvlJc w:val="left"/>
      <w:lvlText w:val="%1."/>
      <w:numFmt w:val="upperLetter"/>
      <w:start w:val="2"/>
    </w:lvl>
  </w:abstractNum>
  <w:abstractNum w:abstractNumId="91">
    <w:nsid w:val="1D545C4D"/>
    <w:multiLevelType w:val="hybridMultilevel"/>
    <w:lvl w:ilvl="0">
      <w:lvlJc w:val="left"/>
      <w:lvlText w:val="%1."/>
      <w:numFmt w:val="upperLetter"/>
      <w:start w:val="1"/>
    </w:lvl>
  </w:abstractNum>
  <w:abstractNum w:abstractNumId="92">
    <w:nsid w:val="59ADEA3D"/>
    <w:multiLevelType w:val="hybridMultilevel"/>
    <w:lvl w:ilvl="0">
      <w:lvlJc w:val="left"/>
      <w:lvlText w:val="%1."/>
      <w:numFmt w:val="upperLetter"/>
      <w:start w:val="1"/>
    </w:lvl>
  </w:abstractNum>
  <w:abstractNum w:abstractNumId="93">
    <w:nsid w:val="288F1A34"/>
    <w:multiLevelType w:val="hybridMultilevel"/>
    <w:lvl w:ilvl="0">
      <w:lvlJc w:val="left"/>
      <w:lvlText w:val="%1."/>
      <w:numFmt w:val="upperLetter"/>
      <w:start w:val="1"/>
    </w:lvl>
  </w:abstractNum>
  <w:abstractNum w:abstractNumId="94">
    <w:nsid w:val="2A155DBC"/>
    <w:multiLevelType w:val="hybridMultilevel"/>
    <w:lvl w:ilvl="0">
      <w:lvlJc w:val="left"/>
      <w:lvlText w:val="%1."/>
      <w:numFmt w:val="upperLetter"/>
      <w:start w:val="1"/>
    </w:lvl>
  </w:abstractNum>
  <w:abstractNum w:abstractNumId="95">
    <w:nsid w:val="1D9F6E5F"/>
    <w:multiLevelType w:val="hybridMultilevel"/>
    <w:lvl w:ilvl="0">
      <w:lvlJc w:val="left"/>
      <w:lvlText w:val="%1."/>
      <w:numFmt w:val="upperLetter"/>
      <w:start w:val="6"/>
    </w:lvl>
  </w:abstractNum>
  <w:abstractNum w:abstractNumId="96">
    <w:nsid w:val="97E1B4E"/>
    <w:multiLevelType w:val="hybridMultilevel"/>
    <w:lvl w:ilvl="0">
      <w:lvlJc w:val="left"/>
      <w:lvlText w:val="%1."/>
      <w:numFmt w:val="decimal"/>
      <w:start w:val="1"/>
    </w:lvl>
    <w:lvl w:ilvl="1">
      <w:lvlJc w:val="left"/>
      <w:lvlText w:val="%2."/>
      <w:numFmt w:val="lowerLetter"/>
      <w:start w:val="1"/>
    </w:lvl>
  </w:abstractNum>
  <w:abstractNum w:abstractNumId="97">
    <w:nsid w:val="51088277"/>
    <w:multiLevelType w:val="hybridMultilevel"/>
    <w:lvl w:ilvl="0">
      <w:lvlJc w:val="left"/>
      <w:lvlText w:val="%1."/>
      <w:numFmt w:val="decimal"/>
      <w:start w:val="1"/>
    </w:lvl>
  </w:abstractNum>
  <w:abstractNum w:abstractNumId="98">
    <w:nsid w:val="1CA0C5FA"/>
    <w:multiLevelType w:val="hybridMultilevel"/>
    <w:lvl w:ilvl="0">
      <w:lvlJc w:val="left"/>
      <w:lvlText w:val="%1."/>
      <w:numFmt w:val="upperLetter"/>
      <w:start w:val="9"/>
    </w:lvl>
  </w:abstractNum>
  <w:abstractNum w:abstractNumId="99">
    <w:nsid w:val="53584BCB"/>
    <w:multiLevelType w:val="hybridMultilevel"/>
    <w:lvl w:ilvl="0">
      <w:lvlJc w:val="left"/>
      <w:lvlText w:val="%1."/>
      <w:numFmt w:val="upperLetter"/>
      <w:start w:val="11"/>
    </w:lvl>
  </w:abstractNum>
  <w:abstractNum w:abstractNumId="100">
    <w:nsid w:val="415E286C"/>
    <w:multiLevelType w:val="hybridMultilevel"/>
    <w:lvl w:ilvl="0">
      <w:lvlJc w:val="left"/>
      <w:lvlText w:val="%1."/>
      <w:numFmt w:val="upperLetter"/>
      <w:start w:val="15"/>
    </w:lvl>
  </w:abstractNum>
  <w:abstractNum w:abstractNumId="101">
    <w:nsid w:val="7C58FD05"/>
    <w:multiLevelType w:val="hybridMultilevel"/>
    <w:lvl w:ilvl="0">
      <w:lvlJc w:val="left"/>
      <w:lvlText w:val="%1."/>
      <w:numFmt w:val="upperLetter"/>
      <w:start w:val="16"/>
    </w:lvl>
  </w:abstractNum>
  <w:abstractNum w:abstractNumId="102">
    <w:nsid w:val="23D86AAC"/>
    <w:multiLevelType w:val="hybridMultilevel"/>
    <w:lvl w:ilvl="0">
      <w:lvlJc w:val="left"/>
      <w:lvlText w:val="%1."/>
      <w:numFmt w:val="decimal"/>
      <w:start w:val="1"/>
    </w:lvl>
  </w:abstractNum>
  <w:abstractNum w:abstractNumId="103">
    <w:nsid w:val="45E6D486"/>
    <w:multiLevelType w:val="hybridMultilevel"/>
    <w:lvl w:ilvl="0">
      <w:lvlJc w:val="left"/>
      <w:lvlText w:val="%1."/>
      <w:numFmt w:val="upperLetter"/>
      <w:start w:val="19"/>
    </w:lvl>
    <w:lvl w:ilvl="1">
      <w:lvlJc w:val="left"/>
      <w:lvlText w:val="%2."/>
      <w:numFmt w:val="decimal"/>
      <w:start w:val="1"/>
    </w:lvl>
    <w:lvl w:ilvl="2">
      <w:lvlJc w:val="left"/>
      <w:lvlText w:val="%3."/>
      <w:numFmt w:val="lowerLetter"/>
      <w:start w:val="1"/>
    </w:lvl>
  </w:abstractNum>
  <w:abstractNum w:abstractNumId="104">
    <w:nsid w:val="5C10FE21"/>
    <w:multiLevelType w:val="hybridMultilevel"/>
    <w:lvl w:ilvl="0">
      <w:lvlJc w:val="left"/>
      <w:lvlText w:val="%1."/>
      <w:numFmt w:val="decimal"/>
      <w:start w:val="3"/>
    </w:lvl>
  </w:abstractNum>
  <w:abstractNum w:abstractNumId="105">
    <w:nsid w:val="E7FFA2B"/>
    <w:multiLevelType w:val="hybridMultilevel"/>
    <w:lvl w:ilvl="0">
      <w:lvlJc w:val="left"/>
      <w:lvlText w:val="%1."/>
      <w:numFmt w:val="decimal"/>
      <w:start w:val="4"/>
    </w:lvl>
    <w:lvl w:ilvl="1">
      <w:lvlJc w:val="left"/>
      <w:lvlText w:val="%2."/>
      <w:numFmt w:val="lowerLetter"/>
      <w:start w:val="1"/>
    </w:lvl>
  </w:abstractNum>
  <w:abstractNum w:abstractNumId="106">
    <w:nsid w:val="3C5991AA"/>
    <w:multiLevelType w:val="hybridMultilevel"/>
    <w:lvl w:ilvl="0">
      <w:lvlJc w:val="left"/>
      <w:lvlText w:val="%1."/>
      <w:numFmt w:val="decimal"/>
      <w:start w:val="6"/>
    </w:lvl>
  </w:abstractNum>
  <w:abstractNum w:abstractNumId="107">
    <w:nsid w:val="4BD8591A"/>
    <w:multiLevelType w:val="hybridMultilevel"/>
    <w:lvl w:ilvl="0">
      <w:lvlJc w:val="left"/>
      <w:lvlText w:val="%1."/>
      <w:numFmt w:val="decimal"/>
      <w:start w:val="7"/>
    </w:lvl>
  </w:abstractNum>
  <w:abstractNum w:abstractNumId="108">
    <w:nsid w:val="78DF6A55"/>
    <w:multiLevelType w:val="hybridMultilevel"/>
    <w:lvl w:ilvl="0">
      <w:lvlJc w:val="left"/>
      <w:lvlText w:val="%1."/>
      <w:numFmt w:val="decimal"/>
      <w:start w:val="9"/>
    </w:lvl>
  </w:abstractNum>
  <w:abstractNum w:abstractNumId="109">
    <w:nsid w:val="39B7AAA2"/>
    <w:multiLevelType w:val="hybridMultilevel"/>
    <w:lvl w:ilvl="0">
      <w:lvlJc w:val="left"/>
      <w:lvlText w:val="%1."/>
      <w:numFmt w:val="decimal"/>
      <w:start w:val="10"/>
    </w:lvl>
  </w:abstractNum>
  <w:abstractNum w:abstractNumId="110">
    <w:nsid w:val="2B0D8DBE"/>
    <w:multiLevelType w:val="hybridMultilevel"/>
    <w:lvl w:ilvl="0">
      <w:lvlJc w:val="left"/>
      <w:lvlText w:val="%1."/>
      <w:numFmt w:val="decimal"/>
      <w:start w:val="1"/>
    </w:lvl>
    <w:lvl w:ilvl="1">
      <w:lvlJc w:val="left"/>
      <w:lvlText w:val="%2."/>
      <w:numFmt w:val="lowerLetter"/>
      <w:start w:val="1"/>
    </w:lvl>
  </w:abstractNum>
  <w:abstractNum w:abstractNumId="111">
    <w:nsid w:val="6C80EC70"/>
    <w:multiLevelType w:val="hybridMultilevel"/>
    <w:lvl w:ilvl="0">
      <w:lvlJc w:val="left"/>
      <w:lvlText w:val="%1."/>
      <w:numFmt w:val="lowerLetter"/>
      <w:start w:val="2"/>
    </w:lvl>
    <w:lvl w:ilvl="1">
      <w:lvlJc w:val="left"/>
      <w:lvlText w:val="%2."/>
      <w:numFmt w:val="decimal"/>
      <w:start w:val="1"/>
    </w:lvl>
  </w:abstractNum>
  <w:abstractNum w:abstractNumId="112">
    <w:nsid w:val="379E21B5"/>
    <w:multiLevelType w:val="hybridMultilevel"/>
    <w:lvl w:ilvl="0">
      <w:lvlJc w:val="left"/>
      <w:lvlText w:val="%1"/>
      <w:numFmt w:val="decimal"/>
      <w:start w:val="1"/>
    </w:lvl>
    <w:lvl w:ilvl="1">
      <w:lvlJc w:val="left"/>
      <w:lvlText w:val="%2."/>
      <w:numFmt w:val="lowerLetter"/>
      <w:start w:val="13"/>
    </w:lvl>
  </w:abstractNum>
  <w:abstractNum w:abstractNumId="113">
    <w:nsid w:val="69E373"/>
    <w:multiLevelType w:val="hybridMultilevel"/>
    <w:lvl w:ilvl="0">
      <w:lvlJc w:val="left"/>
      <w:lvlText w:val="%1."/>
      <w:numFmt w:val="decimal"/>
      <w:start w:val="7"/>
    </w:lvl>
    <w:lvl w:ilvl="1">
      <w:lvlJc w:val="left"/>
      <w:lvlText w:val="%2."/>
      <w:numFmt w:val="lowerLetter"/>
      <w:start w:val="1"/>
    </w:lvl>
  </w:abstractNum>
  <w:abstractNum w:abstractNumId="114">
    <w:nsid w:val="2C27173B"/>
    <w:multiLevelType w:val="hybridMultilevel"/>
    <w:lvl w:ilvl="0">
      <w:lvlJc w:val="left"/>
      <w:lvlText w:val="%1."/>
      <w:numFmt w:val="lowerLetter"/>
      <w:start w:val="9"/>
    </w:lvl>
  </w:abstractNum>
  <w:abstractNum w:abstractNumId="115">
    <w:nsid w:val="4C9B0904"/>
    <w:multiLevelType w:val="hybridMultilevel"/>
    <w:lvl w:ilvl="0">
      <w:lvlJc w:val="left"/>
      <w:lvlText w:val="%1."/>
      <w:numFmt w:val="lowerLetter"/>
      <w:start w:val="13"/>
    </w:lvl>
  </w:abstractNum>
  <w:abstractNum w:abstractNumId="116">
    <w:nsid w:val="6AA7B75C"/>
    <w:multiLevelType w:val="hybridMultilevel"/>
    <w:lvl w:ilvl="0">
      <w:lvlJc w:val="left"/>
      <w:lvlText w:val="%1."/>
      <w:numFmt w:val="lowerLetter"/>
      <w:start w:val="16"/>
    </w:lvl>
  </w:abstractNum>
  <w:abstractNum w:abstractNumId="117">
    <w:nsid w:val="1DF029D3"/>
    <w:multiLevelType w:val="hybridMultilevel"/>
    <w:lvl w:ilvl="0">
      <w:lvlJc w:val="left"/>
      <w:lvlText w:val="%1."/>
      <w:numFmt w:val="upperLetter"/>
      <w:start w:val="1"/>
    </w:lvl>
    <w:lvl w:ilvl="1">
      <w:lvlJc w:val="left"/>
      <w:lvlText w:val="%2."/>
      <w:numFmt w:val="decimal"/>
      <w:start w:val="1"/>
    </w:lvl>
  </w:abstractNum>
  <w:abstractNum w:abstractNumId="118">
    <w:nsid w:val="5675FF36"/>
    <w:multiLevelType w:val="hybridMultilevel"/>
    <w:lvl w:ilvl="0">
      <w:lvlJc w:val="left"/>
      <w:lvlText w:val="%1."/>
      <w:numFmt w:val="upperLetter"/>
      <w:start w:val="4"/>
    </w:lvl>
  </w:abstractNum>
  <w:abstractNum w:abstractNumId="119">
    <w:nsid w:val="3DD15094"/>
    <w:multiLevelType w:val="hybridMultilevel"/>
    <w:lvl w:ilvl="0">
      <w:lvlJc w:val="left"/>
      <w:lvlText w:val="%1."/>
      <w:numFmt w:val="decimal"/>
      <w:start w:val="1"/>
    </w:lvl>
  </w:abstractNum>
  <w:abstractNum w:abstractNumId="120">
    <w:nsid w:val="3DB012B3"/>
    <w:multiLevelType w:val="hybridMultilevel"/>
    <w:lvl w:ilvl="0">
      <w:lvlJc w:val="left"/>
      <w:lvlText w:val="%1."/>
      <w:numFmt w:val="decimal"/>
      <w:start w:val="1"/>
    </w:lvl>
    <w:lvl w:ilvl="1">
      <w:lvlJc w:val="left"/>
      <w:lvlText w:val="%2)"/>
      <w:numFmt w:val="lowerLetter"/>
      <w:start w:val="1"/>
    </w:lvl>
  </w:abstractNum>
  <w:abstractNum w:abstractNumId="121">
    <w:nsid w:val="2708C9A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5" Type="http://schemas.openxmlformats.org/officeDocument/2006/relationships/image" Target="media/image16.png"/><Relationship Id="rId28" Type="http://schemas.openxmlformats.org/officeDocument/2006/relationships/image" Target="media/image17.png"/><Relationship Id="rId31" Type="http://schemas.openxmlformats.org/officeDocument/2006/relationships/image" Target="media/image18.png"/><Relationship Id="rId33" Type="http://schemas.openxmlformats.org/officeDocument/2006/relationships/image" Target="media/image19.png"/><Relationship Id="rId36" Type="http://schemas.openxmlformats.org/officeDocument/2006/relationships/image" Target="media/image20.png"/><Relationship Id="rId39" Type="http://schemas.openxmlformats.org/officeDocument/2006/relationships/image" Target="media/image21.png"/><Relationship Id="rId43" Type="http://schemas.openxmlformats.org/officeDocument/2006/relationships/image" Target="media/image22.png"/><Relationship Id="rId46" Type="http://schemas.openxmlformats.org/officeDocument/2006/relationships/image" Target="media/image23.png"/><Relationship Id="rId49" Type="http://schemas.openxmlformats.org/officeDocument/2006/relationships/image" Target="media/image24.png"/><Relationship Id="rId52" Type="http://schemas.openxmlformats.org/officeDocument/2006/relationships/image" Target="media/image25.png"/><Relationship Id="rId55" Type="http://schemas.openxmlformats.org/officeDocument/2006/relationships/image" Target="media/image26.png"/><Relationship Id="rId58" Type="http://schemas.openxmlformats.org/officeDocument/2006/relationships/image" Target="media/image27.png"/><Relationship Id="rId61" Type="http://schemas.openxmlformats.org/officeDocument/2006/relationships/image" Target="media/image28.png"/><Relationship Id="rId64" Type="http://schemas.openxmlformats.org/officeDocument/2006/relationships/image" Target="media/image29.png"/><Relationship Id="rId67" Type="http://schemas.openxmlformats.org/officeDocument/2006/relationships/image" Target="media/image30.png"/><Relationship Id="rId69" Type="http://schemas.openxmlformats.org/officeDocument/2006/relationships/image" Target="media/image31.png"/><Relationship Id="rId72" Type="http://schemas.openxmlformats.org/officeDocument/2006/relationships/image" Target="media/image32.png"/><Relationship Id="rId75" Type="http://schemas.openxmlformats.org/officeDocument/2006/relationships/image" Target="media/image33.png"/><Relationship Id="rId78" Type="http://schemas.openxmlformats.org/officeDocument/2006/relationships/image" Target="media/image34.png"/><Relationship Id="rId81" Type="http://schemas.openxmlformats.org/officeDocument/2006/relationships/image" Target="media/image35.png"/><Relationship Id="rId84" Type="http://schemas.openxmlformats.org/officeDocument/2006/relationships/image" Target="media/image36.png"/><Relationship Id="rId87" Type="http://schemas.openxmlformats.org/officeDocument/2006/relationships/image" Target="media/image37.png"/><Relationship Id="rId90" Type="http://schemas.openxmlformats.org/officeDocument/2006/relationships/image" Target="media/image38.png"/><Relationship Id="rId93" Type="http://schemas.openxmlformats.org/officeDocument/2006/relationships/image" Target="media/image39.png"/><Relationship Id="rId96" Type="http://schemas.openxmlformats.org/officeDocument/2006/relationships/image" Target="media/image40.png"/><Relationship Id="rId97" Type="http://schemas.openxmlformats.org/officeDocument/2006/relationships/image" Target="media/image41.png"/><Relationship Id="rId98" Type="http://schemas.openxmlformats.org/officeDocument/2006/relationships/image" Target="media/image42.png"/><Relationship Id="rId99" Type="http://schemas.openxmlformats.org/officeDocument/2006/relationships/image" Target="media/image43.png"/><Relationship Id="rId100" Type="http://schemas.openxmlformats.org/officeDocument/2006/relationships/image" Target="media/image44.png"/><Relationship Id="rId101" Type="http://schemas.openxmlformats.org/officeDocument/2006/relationships/image" Target="media/image45.png"/><Relationship Id="rId102" Type="http://schemas.openxmlformats.org/officeDocument/2006/relationships/image" Target="media/image46.png"/><Relationship Id="rId103" Type="http://schemas.openxmlformats.org/officeDocument/2006/relationships/image" Target="media/image47.png"/><Relationship Id="rId23" Type="http://schemas.openxmlformats.org/officeDocument/2006/relationships/hyperlink" Target="http://www.sec.gov/Archives/edgar/data/812011/000110465913045415/a13-13329_1ex2d1.htm" TargetMode="External"/><Relationship Id="rId24" Type="http://schemas.openxmlformats.org/officeDocument/2006/relationships/hyperlink" Target="http://www.sec.gov/Archives/edgar/data/812011/000081201114000028/exhibit212015-q1.htm" TargetMode="External"/><Relationship Id="rId26" Type="http://schemas.openxmlformats.org/officeDocument/2006/relationships/hyperlink" Target="http://www.sec.gov/Archives/edgar/data/812011/000081201116000098/exhibit21-arrangementagree.htm" TargetMode="External"/><Relationship Id="rId27" Type="http://schemas.openxmlformats.org/officeDocument/2006/relationships/hyperlink" Target="http://www.sec.gov/Archives/edgar/data/812011/000081201105000010/exhibit3.htm" TargetMode="External"/><Relationship Id="rId29" Type="http://schemas.openxmlformats.org/officeDocument/2006/relationships/hyperlink" Target="http://www.sec.gov/Archives/edgar/data/812011/000110465911068271/a11-31184_1ex3d1.htm" TargetMode="External"/><Relationship Id="rId30" Type="http://schemas.openxmlformats.org/officeDocument/2006/relationships/hyperlink" Target="http://www.sec.gov/Archives/edgar/data/812011/000110465916150413/a16-20037_1ex3d1.htm" TargetMode="External"/><Relationship Id="rId32" Type="http://schemas.openxmlformats.org/officeDocument/2006/relationships/hyperlink" Target="http://www.sec.gov/Archives/edgar/data/812011/000110465911068271/a11-31184_1ex3d2.htm" TargetMode="External"/><Relationship Id="rId34" Type="http://schemas.openxmlformats.org/officeDocument/2006/relationships/hyperlink" Target="http://www.sec.gov/Archives/edgar/data/812011/000081201102000023/exhibit992a.htm" TargetMode="External"/><Relationship Id="rId35" Type="http://schemas.openxmlformats.org/officeDocument/2006/relationships/hyperlink" Target="http://www.sec.gov/Archives/edgar/data/812011/000081201102000023/exhibit992b.htm" TargetMode="External"/><Relationship Id="rId37" Type="http://schemas.openxmlformats.org/officeDocument/2006/relationships/hyperlink" Target="http://www.sec.gov/Archives/edgar/data/812011/000081201105000035/exhibit103c.htm" TargetMode="External"/><Relationship Id="rId38" Type="http://schemas.openxmlformats.org/officeDocument/2006/relationships/hyperlink" Target="http://www.sec.gov/Archives/edgar/data/812011/000081201105000035/exhibit103d.htm" TargetMode="External"/><Relationship Id="rId40" Type="http://schemas.openxmlformats.org/officeDocument/2006/relationships/hyperlink" Target="http://www.sec.gov/Archives/edgar/data/812011/000081201105000035/exhibit103e.htm" TargetMode="External"/><Relationship Id="rId41" Type="http://schemas.openxmlformats.org/officeDocument/2006/relationships/hyperlink" Target="http://www.sec.gov/Archives/edgar/data/812011/000081201102000023/exhibit993a.htm" TargetMode="External"/><Relationship Id="rId42" Type="http://schemas.openxmlformats.org/officeDocument/2006/relationships/hyperlink" Target="http://www.sec.gov/Archives/edgar/data/812011/000081201102000023/exhibit993b.htm" TargetMode="External"/><Relationship Id="rId44" Type="http://schemas.openxmlformats.org/officeDocument/2006/relationships/hyperlink" Target="http://www.sec.gov/Archives/edgar/data/812011/000081201105000035/exhibit104c.htm" TargetMode="External"/><Relationship Id="rId45" Type="http://schemas.openxmlformats.org/officeDocument/2006/relationships/hyperlink" Target="http://www.sec.gov/Archives/edgar/data/812011/000081201105000035/exhibit104d.htm" TargetMode="External"/><Relationship Id="rId47" Type="http://schemas.openxmlformats.org/officeDocument/2006/relationships/hyperlink" Target="http://www.sec.gov/Archives/edgar/data/812011/000081201105000035/exhibit104e.htm" TargetMode="External"/><Relationship Id="rId48" Type="http://schemas.openxmlformats.org/officeDocument/2006/relationships/hyperlink" Target="http://www.sec.gov/Archives/edgar/data/812011/000081201106000008/exhibit104f.htm" TargetMode="External"/><Relationship Id="rId50" Type="http://schemas.openxmlformats.org/officeDocument/2006/relationships/hyperlink" Target="http://www.sec.gov/Archives/edgar/data/812011/000081201102000023/exhibit994a.htm" TargetMode="External"/><Relationship Id="rId51" Type="http://schemas.openxmlformats.org/officeDocument/2006/relationships/hyperlink" Target="http://www.sec.gov/Archives/edgar/data/812011/000081201102000023/exhibit994b.htm" TargetMode="External"/><Relationship Id="rId53" Type="http://schemas.openxmlformats.org/officeDocument/2006/relationships/hyperlink" Target="http://www.sec.gov/Archives/edgar/data/812011/000081201105000035/exhibit105c.htm" TargetMode="External"/><Relationship Id="rId54" Type="http://schemas.openxmlformats.org/officeDocument/2006/relationships/hyperlink" Target="http://www.sec.gov/Archives/edgar/data/812011/000081201105000035/exhibit105d.htm" TargetMode="External"/><Relationship Id="rId56" Type="http://schemas.openxmlformats.org/officeDocument/2006/relationships/hyperlink" Target="http://www.sec.gov/Archives/edgar/data/812011/000081201105000035/exhibit105e.htm" TargetMode="External"/><Relationship Id="rId57" Type="http://schemas.openxmlformats.org/officeDocument/2006/relationships/hyperlink" Target="http://www.sec.gov/Archives/edgar/data/812011/000081201108000026/exhibit10_4f.htm" TargetMode="External"/><Relationship Id="rId59" Type="http://schemas.openxmlformats.org/officeDocument/2006/relationships/hyperlink" Target="http://www.sec.gov/Archives/edgar/data/812011/000081201102000023/exhibit995a.htm" TargetMode="External"/><Relationship Id="rId60" Type="http://schemas.openxmlformats.org/officeDocument/2006/relationships/hyperlink" Target="http://www.sec.gov/Archives/edgar/data/812011/000081201102000023/exhibit995b.htm" TargetMode="External"/><Relationship Id="rId62" Type="http://schemas.openxmlformats.org/officeDocument/2006/relationships/hyperlink" Target="http://www.sec.gov/Archives/edgar/data/812011/000081201102000023/exhibit995c.htm" TargetMode="External"/><Relationship Id="rId63" Type="http://schemas.openxmlformats.org/officeDocument/2006/relationships/hyperlink" Target="http://www.sec.gov/Archives/edgar/data/812011/000081201105000035/exhibit106d.htm" TargetMode="External"/><Relationship Id="rId65" Type="http://schemas.openxmlformats.org/officeDocument/2006/relationships/hyperlink" Target="http://www.sec.gov/Archives/edgar/data/812011/000081201105000035/exhibit106e.htm" TargetMode="External"/><Relationship Id="rId66" Type="http://schemas.openxmlformats.org/officeDocument/2006/relationships/hyperlink" Target="http://www.sec.gov/Archives/edgar/data/812011/000081201109000036/exhibit99_1.htm" TargetMode="External"/><Relationship Id="rId68" Type="http://schemas.openxmlformats.org/officeDocument/2006/relationships/hyperlink" Target="http://www.sec.gov/Archives/edgar/data/812011/000081201107000054/exhibit10_20.htm" TargetMode="External"/><Relationship Id="rId70" Type="http://schemas.openxmlformats.org/officeDocument/2006/relationships/hyperlink" Target="http://www.sec.gov/Archives/edgar/data/812011/000110465915083185/a15-24404_2ex10d3.htm" TargetMode="External"/><Relationship Id="rId71" Type="http://schemas.openxmlformats.org/officeDocument/2006/relationships/hyperlink" Target="http://www.sec.gov/Archives/edgar/data/812011/000081201109000030/exhibit10_22.htm" TargetMode="External"/><Relationship Id="rId73" Type="http://schemas.openxmlformats.org/officeDocument/2006/relationships/hyperlink" Target="http://www.sec.gov/Archives/edgar/data/812011/000081201108000036/exhibit10_1.htm" TargetMode="External"/><Relationship Id="rId74" Type="http://schemas.openxmlformats.org/officeDocument/2006/relationships/hyperlink" Target="http://www.sec.gov/Archives/edgar/data/812011/000081201111000023/exhibit10_1.htm" TargetMode="External"/><Relationship Id="rId76" Type="http://schemas.openxmlformats.org/officeDocument/2006/relationships/hyperlink" Target="http://www.sec.gov/Archives/edgar/data/812011/000081201113000023/exhibit101.htm" TargetMode="External"/><Relationship Id="rId77" Type="http://schemas.openxmlformats.org/officeDocument/2006/relationships/hyperlink" Target="http://www.sec.gov/Archives/edgar/data/812011/000081201108000036/exhibit10_8.htm" TargetMode="External"/><Relationship Id="rId79" Type="http://schemas.openxmlformats.org/officeDocument/2006/relationships/hyperlink" Target="http://www.sec.gov/Archives/edgar/data/812011/000110465913045415/a13-13329_1ex10d1.htm" TargetMode="External"/><Relationship Id="rId80" Type="http://schemas.openxmlformats.org/officeDocument/2006/relationships/hyperlink" Target="http://www.sec.gov/Archives/edgar/data/812011/000110465913045415/a13-13329_1ex10d2.htm" TargetMode="External"/><Relationship Id="rId82" Type="http://schemas.openxmlformats.org/officeDocument/2006/relationships/hyperlink" Target="http://www.sec.gov/Archives/edgar/data/812011/000081201116000182/exhibit101managementincent.htm" TargetMode="External"/><Relationship Id="rId83" Type="http://schemas.openxmlformats.org/officeDocument/2006/relationships/hyperlink" Target="http://www.sec.gov/Archives/edgar/data/812011/000110465915083185/a15-24404_2ex10d1.htm" TargetMode="External"/><Relationship Id="rId85" Type="http://schemas.openxmlformats.org/officeDocument/2006/relationships/hyperlink" Target="http://www.sec.gov/Archives/edgar/data/812011/000081201115000031/exhibit1012015-q3.htm" TargetMode="External"/><Relationship Id="rId86" Type="http://schemas.openxmlformats.org/officeDocument/2006/relationships/hyperlink" Target="http://www.sec.gov/Archives/edgar/data/812011/000081201115000062/exhibit102firstamendmentto.htm" TargetMode="External"/><Relationship Id="rId88" Type="http://schemas.openxmlformats.org/officeDocument/2006/relationships/hyperlink" Target="http://www.sec.gov/Archives/edgar/data/812011/000110465916150413/a16-20037_1ex10d1.htm" TargetMode="External"/><Relationship Id="rId89" Type="http://schemas.openxmlformats.org/officeDocument/2006/relationships/hyperlink" Target="http://www.sec.gov/Archives/edgar/data/812011/000081201117000039/exhibit103thirdamendmentto7.htm" TargetMode="External"/><Relationship Id="rId91" Type="http://schemas.openxmlformats.org/officeDocument/2006/relationships/hyperlink" Target="http://www.sec.gov/Archives/edgar/data/812011/000081201116000182/exhibit103whistlercreditag.htm" TargetMode="External"/><Relationship Id="rId92" Type="http://schemas.openxmlformats.org/officeDocument/2006/relationships/hyperlink" Target="http://www.sec.gov/Archives/edgar/data/812011/000081201117000014/exhibit1012017-q2.htm" TargetMode="External"/><Relationship Id="rId94" Type="http://schemas.openxmlformats.org/officeDocument/2006/relationships/hyperlink" Target="http://www.sec.gov/Archives/edgar/data/812011/000081201117000006/exhibit101whistlermda.htm" TargetMode="External"/><Relationship Id="rId95" Type="http://schemas.openxmlformats.org/officeDocument/2006/relationships/hyperlink" Target="http://www.sec.gov/Archives/edgar/data/812011/000081201117000006/exhibit102blackcombmd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2019-12-29T04:44:47Z</dcterms:created>
  <dcterms:modified xsi:type="dcterms:W3CDTF">2019-12-29T04:44:47Z</dcterms:modified>
</cp:coreProperties>
</file>