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9"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33"/>
          <w:szCs w:val="33"/>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January 31, 2022</w:t>
      </w:r>
    </w:p>
    <w:p>
      <w:pPr>
        <w:spacing w:after="0" w:line="7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33"/>
          <w:szCs w:val="33"/>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58" w:lineRule="exact"/>
        <w:rPr>
          <w:sz w:val="24"/>
          <w:szCs w:val="24"/>
          <w:color w:val="auto"/>
        </w:rPr>
      </w:pPr>
    </w:p>
    <w:p>
      <w:pPr>
        <w:ind w:left="388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83185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8"/>
                <w:szCs w:val="18"/>
                <w:b w:val="1"/>
                <w:bCs w:val="1"/>
                <w:color w:val="auto"/>
                <w:w w:val="91"/>
              </w:rPr>
              <w:t>Delaware</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384"/>
              <w:spacing w:after="0"/>
              <w:rPr>
                <w:sz w:val="20"/>
                <w:szCs w:val="20"/>
                <w:color w:val="auto"/>
              </w:rPr>
            </w:pPr>
            <w:r>
              <w:rPr>
                <w:rFonts w:ascii="Arial" w:cs="Arial" w:eastAsia="Arial" w:hAnsi="Arial"/>
                <w:sz w:val="18"/>
                <w:szCs w:val="18"/>
                <w:b w:val="1"/>
                <w:bCs w:val="1"/>
                <w:color w:val="auto"/>
              </w:rPr>
              <w:t>51-0291762</w:t>
            </w:r>
          </w:p>
        </w:tc>
        <w:tc>
          <w:tcPr>
            <w:tcW w:w="860" w:type="dxa"/>
            <w:vAlign w:val="bottom"/>
          </w:tcPr>
          <w:p>
            <w:pPr>
              <w:spacing w:after="0"/>
              <w:rPr>
                <w:sz w:val="20"/>
                <w:szCs w:val="20"/>
                <w:color w:val="auto"/>
              </w:rPr>
            </w:pPr>
          </w:p>
        </w:tc>
      </w:tr>
      <w:tr>
        <w:trPr>
          <w:trHeight w:val="129"/>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gridSpan w:val="3"/>
          </w:tcPr>
          <w:p>
            <w:pPr>
              <w:jc w:val="center"/>
              <w:ind w:left="838"/>
              <w:spacing w:after="0" w:line="129" w:lineRule="exact"/>
              <w:rPr>
                <w:sz w:val="20"/>
                <w:szCs w:val="20"/>
                <w:color w:val="auto"/>
              </w:rPr>
            </w:pPr>
            <w:r>
              <w:rPr>
                <w:rFonts w:ascii="Arial" w:cs="Arial" w:eastAsia="Arial" w:hAnsi="Arial"/>
                <w:sz w:val="14"/>
                <w:szCs w:val="14"/>
                <w:color w:val="auto"/>
                <w:w w:val="94"/>
              </w:rPr>
              <w:t>(State or Other Jurisdiction of</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ind w:right="1164"/>
              <w:spacing w:after="0" w:line="129" w:lineRule="exact"/>
              <w:rPr>
                <w:sz w:val="20"/>
                <w:szCs w:val="20"/>
                <w:color w:val="auto"/>
              </w:rPr>
            </w:pPr>
            <w:r>
              <w:rPr>
                <w:rFonts w:ascii="Arial" w:cs="Arial" w:eastAsia="Arial" w:hAnsi="Arial"/>
                <w:sz w:val="14"/>
                <w:szCs w:val="14"/>
                <w:color w:val="auto"/>
                <w:w w:val="95"/>
              </w:rPr>
              <w:t>(I.R.S. Employer</w:t>
            </w:r>
          </w:p>
        </w:tc>
        <w:tc>
          <w:tcPr>
            <w:tcW w:w="860" w:type="dxa"/>
            <w:vAlign w:val="bottom"/>
          </w:tcPr>
          <w:p>
            <w:pPr>
              <w:spacing w:after="0"/>
              <w:rPr>
                <w:sz w:val="11"/>
                <w:szCs w:val="11"/>
                <w:color w:val="auto"/>
              </w:rPr>
            </w:pPr>
          </w:p>
        </w:tc>
      </w:tr>
      <w:tr>
        <w:trPr>
          <w:trHeight w:val="182"/>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Arial" w:cs="Arial" w:eastAsia="Arial" w:hAnsi="Arial"/>
                <w:sz w:val="14"/>
                <w:szCs w:val="14"/>
                <w:color w:val="auto"/>
                <w:w w:val="95"/>
              </w:rPr>
              <w:t>Incorporation or Organization)</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gridSpan w:val="2"/>
          </w:tcPr>
          <w:p>
            <w:pPr>
              <w:jc w:val="center"/>
              <w:ind w:right="2100"/>
              <w:spacing w:after="0"/>
              <w:rPr>
                <w:sz w:val="20"/>
                <w:szCs w:val="20"/>
                <w:color w:val="auto"/>
              </w:rPr>
            </w:pPr>
            <w:r>
              <w:rPr>
                <w:rFonts w:ascii="Arial" w:cs="Arial" w:eastAsia="Arial" w:hAnsi="Arial"/>
                <w:sz w:val="14"/>
                <w:szCs w:val="14"/>
                <w:color w:val="auto"/>
                <w:w w:val="97"/>
              </w:rPr>
              <w:t>Identification No.)</w:t>
            </w:r>
          </w:p>
        </w:tc>
      </w:tr>
      <w:tr>
        <w:trPr>
          <w:trHeight w:val="447"/>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gridSpan w:val="3"/>
          </w:tcPr>
          <w:p>
            <w:pPr>
              <w:jc w:val="center"/>
              <w:ind w:left="838"/>
              <w:spacing w:after="0"/>
              <w:rPr>
                <w:sz w:val="20"/>
                <w:szCs w:val="20"/>
                <w:color w:val="auto"/>
              </w:rPr>
            </w:pPr>
            <w:r>
              <w:rPr>
                <w:rFonts w:ascii="Arial" w:cs="Arial" w:eastAsia="Arial" w:hAnsi="Arial"/>
                <w:sz w:val="18"/>
                <w:szCs w:val="18"/>
                <w:b w:val="1"/>
                <w:bCs w:val="1"/>
                <w:color w:val="auto"/>
                <w:w w:val="90"/>
              </w:rPr>
              <w:t>390 Interlocken Crescent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ind w:left="1440"/>
              <w:spacing w:after="0"/>
              <w:rPr>
                <w:sz w:val="20"/>
                <w:szCs w:val="20"/>
                <w:color w:val="auto"/>
              </w:rPr>
            </w:pPr>
            <w:r>
              <w:rPr>
                <w:rFonts w:ascii="Arial" w:cs="Arial" w:eastAsia="Arial" w:hAnsi="Arial"/>
                <w:sz w:val="18"/>
                <w:szCs w:val="18"/>
                <w:b w:val="1"/>
                <w:bCs w:val="1"/>
                <w:color w:val="auto"/>
              </w:rPr>
              <w:t>Broomfield, Colorado</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584"/>
              <w:spacing w:after="0"/>
              <w:rPr>
                <w:sz w:val="20"/>
                <w:szCs w:val="20"/>
                <w:color w:val="auto"/>
              </w:rPr>
            </w:pPr>
            <w:r>
              <w:rPr>
                <w:rFonts w:ascii="Arial" w:cs="Arial" w:eastAsia="Arial" w:hAnsi="Arial"/>
                <w:sz w:val="18"/>
                <w:szCs w:val="18"/>
                <w:b w:val="1"/>
                <w:bCs w:val="1"/>
                <w:color w:val="auto"/>
              </w:rPr>
              <w:t>80021</w:t>
            </w:r>
          </w:p>
        </w:tc>
        <w:tc>
          <w:tcPr>
            <w:tcW w:w="860" w:type="dxa"/>
            <w:vAlign w:val="bottom"/>
          </w:tcPr>
          <w:p>
            <w:pPr>
              <w:spacing w:after="0"/>
              <w:rPr>
                <w:sz w:val="20"/>
                <w:szCs w:val="20"/>
                <w:color w:val="auto"/>
              </w:rPr>
            </w:pPr>
          </w:p>
        </w:tc>
      </w:tr>
      <w:tr>
        <w:trPr>
          <w:trHeight w:val="176"/>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Arial" w:cs="Arial" w:eastAsia="Arial" w:hAnsi="Arial"/>
                <w:sz w:val="14"/>
                <w:szCs w:val="14"/>
                <w:color w:val="auto"/>
                <w:w w:val="95"/>
              </w:rPr>
              <w:t>(Address of Principal Executive Offices)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jc w:val="center"/>
              <w:ind w:right="1144"/>
              <w:spacing w:after="0"/>
              <w:rPr>
                <w:sz w:val="20"/>
                <w:szCs w:val="20"/>
                <w:color w:val="auto"/>
              </w:rPr>
            </w:pPr>
            <w:r>
              <w:rPr>
                <w:rFonts w:ascii="Arial" w:cs="Arial" w:eastAsia="Arial" w:hAnsi="Arial"/>
                <w:sz w:val="14"/>
                <w:szCs w:val="14"/>
                <w:color w:val="auto"/>
                <w:w w:val="96"/>
              </w:rPr>
              <w:t>(Zip Code)</w:t>
            </w:r>
          </w:p>
        </w:tc>
        <w:tc>
          <w:tcPr>
            <w:tcW w:w="860" w:type="dxa"/>
            <w:vAlign w:val="bottom"/>
          </w:tcPr>
          <w:p>
            <w:pPr>
              <w:spacing w:after="0"/>
              <w:rPr>
                <w:sz w:val="15"/>
                <w:szCs w:val="15"/>
                <w:color w:val="auto"/>
              </w:rPr>
            </w:pPr>
          </w:p>
        </w:tc>
      </w:tr>
      <w:tr>
        <w:trPr>
          <w:trHeight w:val="547"/>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(303) 404-1800</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140" w:type="dxa"/>
            <w:vAlign w:val="bottom"/>
            <w:gridSpan w:val="6"/>
          </w:tcPr>
          <w:p>
            <w:pPr>
              <w:jc w:val="center"/>
              <w:ind w:left="210"/>
              <w:spacing w:after="0"/>
              <w:rPr>
                <w:sz w:val="20"/>
                <w:szCs w:val="20"/>
                <w:color w:val="auto"/>
              </w:rPr>
            </w:pPr>
            <w:r>
              <w:rPr>
                <w:rFonts w:ascii="Arial" w:cs="Arial" w:eastAsia="Arial" w:hAnsi="Arial"/>
                <w:sz w:val="18"/>
                <w:szCs w:val="18"/>
                <w:color w:val="auto"/>
                <w:w w:val="89"/>
              </w:rPr>
              <w:t>(Registrant’s telephone number, including area code)</w:t>
            </w:r>
          </w:p>
        </w:tc>
        <w:tc>
          <w:tcPr>
            <w:tcW w:w="3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9"/>
        </w:trPr>
        <w:tc>
          <w:tcPr>
            <w:tcW w:w="4720" w:type="dxa"/>
            <w:vAlign w:val="bottom"/>
            <w:gridSpan w:val="5"/>
          </w:tcPr>
          <w:p>
            <w:pPr>
              <w:jc w:val="center"/>
              <w:ind w:right="5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1"/>
        </w:trPr>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3"/>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gridSpan w:val="2"/>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3"/>
              </w:rPr>
              <w:t>Trading Symbol</w:t>
            </w:r>
          </w:p>
        </w:tc>
        <w:tc>
          <w:tcPr>
            <w:tcW w:w="46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Arial" w:cs="Arial" w:eastAsia="Arial" w:hAnsi="Arial"/>
                <w:sz w:val="18"/>
                <w:szCs w:val="18"/>
                <w:b w:val="1"/>
                <w:bCs w:val="1"/>
                <w:color w:val="auto"/>
              </w:rPr>
              <w:t>MTN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2"/>
          </w:tcPr>
          <w:p>
            <w:pPr>
              <w:jc w:val="center"/>
              <w:ind w:right="780"/>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310"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60" w:type="dxa"/>
        <w:tblCellMar>
          <w:top w:w="0" w:type="dxa"/>
          <w:left w:w="0" w:type="dxa"/>
          <w:bottom w:w="0" w:type="dxa"/>
          <w:right w:w="0" w:type="dxa"/>
        </w:tblCellMar>
      </w:tblPr>
      <w:tr>
        <w:trPr>
          <w:trHeight w:val="338"/>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44"/>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78"/>
        </w:trPr>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60"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4" w:lineRule="exact"/>
        <w:rPr>
          <w:sz w:val="24"/>
          <w:szCs w:val="24"/>
          <w:color w:val="auto"/>
        </w:rPr>
      </w:pPr>
    </w:p>
    <w:p>
      <w:pPr>
        <w:ind w:right="1680"/>
        <w:spacing w:after="0" w:line="32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March 10, 2022, 40,553,539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02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10"/>
          </w:tcPr>
          <w:p>
            <w:pPr>
              <w:ind w:left="16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9880" w:type="dxa"/>
            <w:vAlign w:val="bottom"/>
            <w:gridSpan w:val="17"/>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9"/>
              </w:rPr>
              <w:t>Page</w:t>
            </w:r>
          </w:p>
        </w:tc>
      </w:tr>
      <w:tr>
        <w:trPr>
          <w:trHeight w:val="250"/>
        </w:trPr>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140"/>
              <w:spacing w:after="0"/>
              <w:rPr>
                <w:sz w:val="20"/>
                <w:szCs w:val="20"/>
                <w:color w:val="auto"/>
              </w:rPr>
            </w:pPr>
            <w:r>
              <w:rPr>
                <w:rFonts w:ascii="Arial" w:cs="Arial" w:eastAsia="Arial" w:hAnsi="Arial"/>
                <w:sz w:val="18"/>
                <w:szCs w:val="18"/>
                <w:color w:val="auto"/>
              </w:rPr>
              <w:t>Financial Statements (unaudited).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820" w:type="dxa"/>
            <w:vAlign w:val="bottom"/>
          </w:tcPr>
          <w:p>
            <w:pPr>
              <w:spacing w:after="0"/>
              <w:rPr>
                <w:sz w:val="16"/>
                <w:szCs w:val="16"/>
                <w:color w:val="auto"/>
              </w:rPr>
            </w:pPr>
          </w:p>
        </w:tc>
        <w:tc>
          <w:tcPr>
            <w:tcW w:w="9880" w:type="dxa"/>
            <w:vAlign w:val="bottom"/>
            <w:gridSpan w:val="17"/>
          </w:tcPr>
          <w:p>
            <w:pPr>
              <w:ind w:left="140"/>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Consolidated Condensed Balance Sheets as of January 31, 2022, July 31, 2021 and January 31, 2021</w:t>
              </w:r>
            </w:hyperlink>
          </w:p>
        </w:tc>
        <w:tc>
          <w:tcPr>
            <w:tcW w:w="540" w:type="dxa"/>
            <w:vAlign w:val="bottom"/>
            <w:gridSpan w:val="4"/>
          </w:tcPr>
          <w:p>
            <w:pPr>
              <w:jc w:val="right"/>
              <w:ind w:right="20"/>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Consolidated Condensed Statements of Operations for the Three and Six Months Ended January 31, 2022 and 2021</w:t>
              </w:r>
            </w:hyperlink>
          </w:p>
        </w:tc>
        <w:tc>
          <w:tcPr>
            <w:tcW w:w="5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880" w:type="dxa"/>
            <w:vAlign w:val="bottom"/>
            <w:gridSpan w:val="17"/>
          </w:tcPr>
          <w:p>
            <w:pPr>
              <w:ind w:left="140"/>
              <w:spacing w:after="0" w:line="189" w:lineRule="exact"/>
              <w:rPr>
                <w:rFonts w:ascii="Arial" w:cs="Arial" w:eastAsia="Arial" w:hAnsi="Arial"/>
                <w:sz w:val="18"/>
                <w:szCs w:val="18"/>
                <w:color w:val="0000FF"/>
                <w:w w:val="94"/>
              </w:rPr>
            </w:pPr>
            <w:hyperlink w:anchor="page4">
              <w:r>
                <w:rPr>
                  <w:rFonts w:ascii="Arial" w:cs="Arial" w:eastAsia="Arial" w:hAnsi="Arial"/>
                  <w:sz w:val="18"/>
                  <w:szCs w:val="18"/>
                  <w:color w:val="0000FF"/>
                  <w:w w:val="94"/>
                </w:rPr>
                <w:t>Consolidated Condensed Statements of Comprehensive Income for the Three and Six Months Ended January 31, 2022 and 2021</w:t>
              </w:r>
            </w:hyperlink>
          </w:p>
        </w:tc>
        <w:tc>
          <w:tcPr>
            <w:tcW w:w="540" w:type="dxa"/>
            <w:vAlign w:val="bottom"/>
            <w:gridSpan w:val="4"/>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7"/>
            <w:shd w:val="clear" w:color="auto" w:fill="CCEEFF"/>
          </w:tcPr>
          <w:p>
            <w:pPr>
              <w:ind w:left="140"/>
              <w:spacing w:after="0" w:line="189" w:lineRule="exact"/>
              <w:rPr>
                <w:rFonts w:ascii="Arial" w:cs="Arial" w:eastAsia="Arial" w:hAnsi="Arial"/>
                <w:sz w:val="18"/>
                <w:szCs w:val="18"/>
                <w:color w:val="0000FF"/>
                <w:w w:val="96"/>
              </w:rPr>
            </w:pPr>
            <w:hyperlink w:anchor="page5">
              <w:r>
                <w:rPr>
                  <w:rFonts w:ascii="Arial" w:cs="Arial" w:eastAsia="Arial" w:hAnsi="Arial"/>
                  <w:sz w:val="18"/>
                  <w:szCs w:val="18"/>
                  <w:color w:val="0000FF"/>
                  <w:w w:val="96"/>
                </w:rPr>
                <w:t>Consolidated Condensed Statements of Stockholders’ Equity for the Three and Six Months Ended January 31, 2022 and 2021</w:t>
              </w:r>
            </w:hyperlink>
          </w:p>
        </w:tc>
        <w:tc>
          <w:tcPr>
            <w:tcW w:w="5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880" w:type="dxa"/>
            <w:vAlign w:val="bottom"/>
            <w:gridSpan w:val="17"/>
          </w:tcPr>
          <w:p>
            <w:pPr>
              <w:ind w:left="14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Consolidated Condensed Statements of Cash Flows for the Six Months Ended January 31, 2022 and 2021</w:t>
              </w:r>
            </w:hyperlink>
          </w:p>
        </w:tc>
        <w:tc>
          <w:tcPr>
            <w:tcW w:w="540" w:type="dxa"/>
            <w:vAlign w:val="bottom"/>
            <w:gridSpan w:val="4"/>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Notes to Consolidated Condensed Financial Statements</w:t>
              </w:r>
            </w:hyperlink>
          </w:p>
        </w:tc>
        <w:tc>
          <w:tcPr>
            <w:tcW w:w="5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880" w:type="dxa"/>
            <w:vAlign w:val="bottom"/>
            <w:gridSpan w:val="17"/>
          </w:tcPr>
          <w:p>
            <w:pPr>
              <w:ind w:left="140"/>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520" w:type="dxa"/>
            <w:vAlign w:val="bottom"/>
            <w:gridSpan w:val="3"/>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5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880" w:type="dxa"/>
            <w:vAlign w:val="bottom"/>
            <w:gridSpan w:val="17"/>
          </w:tcPr>
          <w:p>
            <w:pPr>
              <w:ind w:left="140"/>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520" w:type="dxa"/>
            <w:vAlign w:val="bottom"/>
            <w:gridSpan w:val="3"/>
          </w:tcPr>
          <w:p>
            <w:pPr>
              <w:jc w:val="right"/>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9"/>
        </w:trPr>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880" w:type="dxa"/>
            <w:vAlign w:val="bottom"/>
            <w:gridSpan w:val="17"/>
          </w:tcPr>
          <w:p>
            <w:pPr>
              <w:ind w:left="140"/>
              <w:spacing w:after="0"/>
              <w:rPr>
                <w:sz w:val="20"/>
                <w:szCs w:val="20"/>
                <w:color w:val="auto"/>
              </w:rPr>
            </w:pPr>
            <w:r>
              <w:rPr>
                <w:rFonts w:ascii="Arial" w:cs="Arial" w:eastAsia="Arial" w:hAnsi="Arial"/>
                <w:sz w:val="18"/>
                <w:szCs w:val="18"/>
                <w:b w:val="1"/>
                <w:bCs w:val="1"/>
                <w:color w:val="auto"/>
              </w:rPr>
              <w:t>OTHER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9880" w:type="dxa"/>
            <w:vAlign w:val="bottom"/>
            <w:gridSpan w:val="17"/>
          </w:tcPr>
          <w:p>
            <w:pPr>
              <w:ind w:left="140"/>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520" w:type="dxa"/>
            <w:vAlign w:val="bottom"/>
            <w:gridSpan w:val="3"/>
          </w:tcPr>
          <w:p>
            <w:pPr>
              <w:jc w:val="right"/>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2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988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Risk Factors</w:t>
              </w:r>
            </w:hyperlink>
          </w:p>
        </w:tc>
        <w:tc>
          <w:tcPr>
            <w:tcW w:w="5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880" w:type="dxa"/>
            <w:vAlign w:val="bottom"/>
            <w:gridSpan w:val="17"/>
          </w:tcPr>
          <w:p>
            <w:pPr>
              <w:ind w:left="14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520" w:type="dxa"/>
            <w:vAlign w:val="bottom"/>
            <w:gridSpan w:val="3"/>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Defaults Upon Senior Securities</w:t>
              </w:r>
            </w:hyperlink>
          </w:p>
        </w:tc>
        <w:tc>
          <w:tcPr>
            <w:tcW w:w="5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880" w:type="dxa"/>
            <w:vAlign w:val="bottom"/>
            <w:gridSpan w:val="17"/>
          </w:tcPr>
          <w:p>
            <w:pPr>
              <w:ind w:left="14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Mine Safety Disclosures</w:t>
              </w:r>
            </w:hyperlink>
          </w:p>
        </w:tc>
        <w:tc>
          <w:tcPr>
            <w:tcW w:w="520" w:type="dxa"/>
            <w:vAlign w:val="bottom"/>
            <w:gridSpan w:val="3"/>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5.</w:t>
            </w:r>
          </w:p>
        </w:tc>
        <w:tc>
          <w:tcPr>
            <w:tcW w:w="988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5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20" w:type="dxa"/>
            <w:vAlign w:val="bottom"/>
            <w:shd w:val="clear" w:color="auto" w:fill="CCEEFF"/>
          </w:tcPr>
          <w:p>
            <w:pPr>
              <w:spacing w:after="0"/>
              <w:rPr>
                <w:sz w:val="16"/>
                <w:szCs w:val="16"/>
                <w:color w:val="auto"/>
              </w:rPr>
            </w:pP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Arial" w:cs="Arial" w:eastAsia="Arial" w:hAnsi="Arial"/>
                <w:sz w:val="18"/>
                <w:szCs w:val="18"/>
                <w:color w:val="auto"/>
              </w:rPr>
              <w:t>Item 6.</w:t>
            </w:r>
          </w:p>
        </w:tc>
        <w:tc>
          <w:tcPr>
            <w:tcW w:w="9880" w:type="dxa"/>
            <w:vAlign w:val="bottom"/>
            <w:gridSpan w:val="17"/>
          </w:tcPr>
          <w:p>
            <w:pPr>
              <w:ind w:left="14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520" w:type="dxa"/>
            <w:vAlign w:val="bottom"/>
            <w:gridSpan w:val="3"/>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16"/>
                <w:szCs w:val="16"/>
                <w:color w:val="auto"/>
              </w:rPr>
            </w:pPr>
          </w:p>
        </w:tc>
      </w:tr>
      <w:tr>
        <w:trPr>
          <w:trHeight w:val="1229"/>
        </w:trPr>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January 31, 2022</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July 31, 2021</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9"/>
              </w:rPr>
              <w:t>January 31, 2021</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1,407,019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1,243,962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1,301,003</w:t>
            </w:r>
          </w:p>
        </w:tc>
        <w:tc>
          <w:tcPr>
            <w:tcW w:w="0" w:type="dxa"/>
            <w:vAlign w:val="bottom"/>
          </w:tcPr>
          <w:p>
            <w:pPr>
              <w:spacing w:after="0"/>
              <w:rPr>
                <w:sz w:val="1"/>
                <w:szCs w:val="1"/>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15,643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14,612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11,001</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receivables, net</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167,088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345,408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117,012</w:t>
            </w:r>
          </w:p>
        </w:tc>
        <w:tc>
          <w:tcPr>
            <w:tcW w:w="0" w:type="dxa"/>
            <w:vAlign w:val="bottom"/>
          </w:tcPr>
          <w:p>
            <w:pPr>
              <w:spacing w:after="0"/>
              <w:rPr>
                <w:sz w:val="1"/>
                <w:szCs w:val="1"/>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104,573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80,316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86,876</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73,104</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61,288</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57,559</w:t>
            </w:r>
          </w:p>
        </w:tc>
        <w:tc>
          <w:tcPr>
            <w:tcW w:w="0" w:type="dxa"/>
            <w:vAlign w:val="bottom"/>
          </w:tcPr>
          <w:p>
            <w:pPr>
              <w:spacing w:after="0"/>
              <w:rPr>
                <w:sz w:val="1"/>
                <w:szCs w:val="1"/>
                <w:color w:val="auto"/>
              </w:rPr>
            </w:pPr>
          </w:p>
        </w:tc>
      </w:tr>
      <w:tr>
        <w:trPr>
          <w:trHeight w:val="223"/>
        </w:trPr>
        <w:tc>
          <w:tcPr>
            <w:tcW w:w="58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1,767,427</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1,745,586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1,573,451</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 (Note 7)</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2,190,332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2,067,876</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2,158,863</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Arial" w:cs="Arial" w:eastAsia="Arial" w:hAnsi="Arial"/>
                <w:sz w:val="18"/>
                <w:szCs w:val="18"/>
                <w:color w:val="auto"/>
              </w:rPr>
              <w:t>Real estate held for sale or investment</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95,331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95,615</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96,801</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net (Note 7)</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1,764,106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1,781,047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1,760,908</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318,078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319,110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318,983</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right-of-use assets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198,672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204,716</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215,377</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35,796</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37,106</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41,450</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6,369,742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6,251,056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6,165,833</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 (Note 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1,067,137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815,472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831,794</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24,153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48,812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37,862</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Long-term debt due within one year (Note 5)</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63,746</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114,117</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112,796</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1,155,036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978,401</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982,452</w:t>
            </w: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Long-term debt, net (Note 5)</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2,695,589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2,736,175</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2,768,015</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188,797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190,561</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210,855</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Arial" w:cs="Arial" w:eastAsia="Arial" w:hAnsi="Arial"/>
                <w:sz w:val="18"/>
                <w:szCs w:val="18"/>
                <w:color w:val="auto"/>
              </w:rPr>
              <w:t>Other long-term liabilities (Note 7)</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254,209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264,034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251,913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Deferred income taxes, net</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282,427</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252,817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266,152</w:t>
            </w:r>
          </w:p>
        </w:tc>
        <w:tc>
          <w:tcPr>
            <w:tcW w:w="0" w:type="dxa"/>
            <w:vAlign w:val="bottom"/>
          </w:tcPr>
          <w:p>
            <w:pPr>
              <w:spacing w:after="0"/>
              <w:rPr>
                <w:sz w:val="1"/>
                <w:szCs w:val="1"/>
                <w:color w:val="auto"/>
              </w:rPr>
            </w:pPr>
          </w:p>
        </w:tc>
      </w:tr>
      <w:tr>
        <w:trPr>
          <w:trHeight w:val="223"/>
        </w:trPr>
        <w:tc>
          <w:tcPr>
            <w:tcW w:w="588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4,576,058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4,421,988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4,479,387</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Preferred stock, $0.01 par value, 25,000 shares authorized, no shares issued</w:t>
            </w:r>
          </w:p>
        </w:tc>
        <w:tc>
          <w:tcPr>
            <w:tcW w:w="4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w:t>
            </w:r>
          </w:p>
        </w:tc>
        <w:tc>
          <w:tcPr>
            <w:tcW w:w="4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80" w:type="dxa"/>
            <w:vAlign w:val="bottom"/>
          </w:tcPr>
          <w:p>
            <w:pPr>
              <w:ind w:left="220"/>
              <w:spacing w:after="0" w:line="176" w:lineRule="exact"/>
              <w:rPr>
                <w:sz w:val="20"/>
                <w:szCs w:val="20"/>
                <w:color w:val="auto"/>
              </w:rPr>
            </w:pPr>
            <w:r>
              <w:rPr>
                <w:rFonts w:ascii="Arial" w:cs="Arial" w:eastAsia="Arial" w:hAnsi="Arial"/>
                <w:sz w:val="18"/>
                <w:szCs w:val="18"/>
                <w:color w:val="auto"/>
                <w:w w:val="92"/>
              </w:rPr>
              <w:t>Common stock, $0.01 par value, 100,000 shares authorized, 46,713, 46,552</w:t>
            </w:r>
          </w:p>
        </w:tc>
        <w:tc>
          <w:tcPr>
            <w:tcW w:w="400" w:type="dxa"/>
            <w:vAlign w:val="bottom"/>
          </w:tcPr>
          <w:p>
            <w:pPr>
              <w:spacing w:after="0"/>
              <w:rPr>
                <w:sz w:val="15"/>
                <w:szCs w:val="15"/>
                <w:color w:val="auto"/>
              </w:rPr>
            </w:pPr>
          </w:p>
        </w:tc>
        <w:tc>
          <w:tcPr>
            <w:tcW w:w="1500" w:type="dxa"/>
            <w:vAlign w:val="bottom"/>
            <w:vMerge w:val="restart"/>
          </w:tcPr>
          <w:p>
            <w:pPr>
              <w:jc w:val="right"/>
              <w:ind w:right="31"/>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5"/>
                <w:szCs w:val="15"/>
                <w:color w:val="auto"/>
              </w:rPr>
            </w:pPr>
          </w:p>
        </w:tc>
        <w:tc>
          <w:tcPr>
            <w:tcW w:w="1440" w:type="dxa"/>
            <w:vAlign w:val="bottom"/>
            <w:vMerge w:val="restart"/>
          </w:tcPr>
          <w:p>
            <w:pPr>
              <w:jc w:val="right"/>
              <w:ind w:right="31"/>
              <w:spacing w:after="0"/>
              <w:rPr>
                <w:sz w:val="20"/>
                <w:szCs w:val="20"/>
                <w:color w:val="auto"/>
              </w:rPr>
            </w:pPr>
            <w:r>
              <w:rPr>
                <w:rFonts w:ascii="Arial" w:cs="Arial" w:eastAsia="Arial" w:hAnsi="Arial"/>
                <w:sz w:val="18"/>
                <w:szCs w:val="18"/>
                <w:color w:val="auto"/>
              </w:rPr>
              <w:t>466</w:t>
            </w:r>
          </w:p>
        </w:tc>
        <w:tc>
          <w:tcPr>
            <w:tcW w:w="2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and 46,416 shares issued, respectively</w:t>
            </w:r>
          </w:p>
        </w:tc>
        <w:tc>
          <w:tcPr>
            <w:tcW w:w="4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Exchangeable shares, $0.01 par value, 33, 34 and 35 shares issued and</w:t>
            </w:r>
          </w:p>
        </w:tc>
        <w:tc>
          <w:tcPr>
            <w:tcW w:w="4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respectively (Note 4)</w:t>
            </w:r>
          </w:p>
        </w:tc>
        <w:tc>
          <w:tcPr>
            <w:tcW w:w="4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1,172,595</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1,196,993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1,216,489</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10,418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27,799</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0" w:type="dxa"/>
            <w:vAlign w:val="bottom"/>
          </w:tcPr>
          <w:p>
            <w:pPr>
              <w:spacing w:after="0"/>
              <w:rPr>
                <w:sz w:val="1"/>
                <w:szCs w:val="1"/>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786,473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773,752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639,934</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Treasury stock, at cost, 6,161 shares (Note 11)</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(404,411)</w:t>
            </w:r>
          </w:p>
        </w:tc>
        <w:tc>
          <w:tcPr>
            <w:tcW w:w="0" w:type="dxa"/>
            <w:vAlign w:val="bottom"/>
          </w:tcPr>
          <w:p>
            <w:pPr>
              <w:spacing w:after="0"/>
              <w:rPr>
                <w:sz w:val="1"/>
                <w:szCs w:val="1"/>
                <w:color w:val="auto"/>
              </w:rPr>
            </w:pPr>
          </w:p>
        </w:tc>
      </w:tr>
      <w:tr>
        <w:trPr>
          <w:trHeight w:val="223"/>
        </w:trPr>
        <w:tc>
          <w:tcPr>
            <w:tcW w:w="5880" w:type="dxa"/>
            <w:vAlign w:val="bottom"/>
          </w:tcPr>
          <w:p>
            <w:pPr>
              <w:ind w:left="480"/>
              <w:spacing w:after="0"/>
              <w:rPr>
                <w:sz w:val="20"/>
                <w:szCs w:val="20"/>
                <w:color w:val="auto"/>
              </w:rPr>
            </w:pPr>
            <w:r>
              <w:rPr>
                <w:rFonts w:ascii="Arial" w:cs="Arial" w:eastAsia="Arial" w:hAnsi="Arial"/>
                <w:sz w:val="18"/>
                <w:szCs w:val="18"/>
                <w:color w:val="auto"/>
              </w:rPr>
              <w:t>Total Vail Resorts, Inc. stockholders’ equity</w:t>
            </w:r>
          </w:p>
        </w:tc>
        <w:tc>
          <w:tcPr>
            <w:tcW w:w="40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1,565,542</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1,594,599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1,460,703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228,142</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234,469</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225,743</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1,793,684</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1,829,068</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1,686,446</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6,369,742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6,251,056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6,165,833</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ind w:left="530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60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January 31,</w:t>
            </w:r>
          </w:p>
        </w:tc>
        <w:tc>
          <w:tcPr>
            <w:tcW w:w="0" w:type="dxa"/>
            <w:vAlign w:val="bottom"/>
          </w:tcPr>
          <w:p>
            <w:pPr>
              <w:spacing w:after="0"/>
              <w:rPr>
                <w:sz w:val="1"/>
                <w:szCs w:val="1"/>
                <w:color w:val="auto"/>
              </w:rPr>
            </w:pPr>
          </w:p>
        </w:tc>
      </w:tr>
      <w:tr>
        <w:trPr>
          <w:trHeight w:val="187"/>
        </w:trPr>
        <w:tc>
          <w:tcPr>
            <w:tcW w:w="536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Mountain and Lodging services and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770,300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597,110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892,160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701,384</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Mountain and Lodging retail and dining</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136,055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87,219</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189,456</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114,477</w:t>
            </w:r>
          </w:p>
        </w:tc>
        <w:tc>
          <w:tcPr>
            <w:tcW w:w="0" w:type="dxa"/>
            <w:vAlign w:val="bottom"/>
          </w:tcPr>
          <w:p>
            <w:pPr>
              <w:spacing w:after="0"/>
              <w:rPr>
                <w:sz w:val="1"/>
                <w:szCs w:val="1"/>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Resort net revenue</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906,355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684,329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1,081,616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815,861</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495</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Total net revenue</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906,535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684,644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1,082,111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816,430</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Operating expense (exclusive of depreciation and amortization shown</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separately below):</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Mountain and Lodging operating expense</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364,336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293,971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548,061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448,108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Mountain and Lodging retail and dining cost of products sold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53,715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77,944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54,498</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91,261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168,495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137,150</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Resort operating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509,312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794,500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639,756</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Real Estate operating expense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2,981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segment operating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510,823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797,481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642,821</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Other operating (expense) income: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(125,291)</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Gain on sale of real property</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931</w:t>
            </w:r>
          </w:p>
        </w:tc>
        <w:tc>
          <w:tcPr>
            <w:tcW w:w="3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Change in estimated fair value of contingent consideration (Note 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Gain (loss) on disposal of fixed assets and other,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7,347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16,214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325,140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159,467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43,755</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Mountain equity investment income, net</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818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2,332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income and other,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175"/>
        </w:trPr>
        <w:tc>
          <w:tcPr>
            <w:tcW w:w="5360" w:type="dxa"/>
            <w:vAlign w:val="bottom"/>
          </w:tcPr>
          <w:p>
            <w:pPr>
              <w:ind w:left="220"/>
              <w:spacing w:after="0" w:line="176" w:lineRule="exact"/>
              <w:rPr>
                <w:sz w:val="20"/>
                <w:szCs w:val="20"/>
                <w:color w:val="auto"/>
              </w:rPr>
            </w:pPr>
            <w:r>
              <w:rPr>
                <w:rFonts w:ascii="Arial" w:cs="Arial" w:eastAsia="Arial" w:hAnsi="Arial"/>
                <w:sz w:val="18"/>
                <w:szCs w:val="18"/>
                <w:color w:val="auto"/>
              </w:rPr>
              <w:t>Foreign currency (loss) gain on intercompany loans</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(2,870)</w:t>
            </w:r>
          </w:p>
        </w:tc>
        <w:tc>
          <w:tcPr>
            <w:tcW w:w="3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(2,039)</w:t>
            </w:r>
          </w:p>
        </w:tc>
        <w:tc>
          <w:tcPr>
            <w:tcW w:w="3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135"/>
        </w:trPr>
        <w:tc>
          <w:tcPr>
            <w:tcW w:w="5360" w:type="dxa"/>
            <w:vAlign w:val="bottom"/>
            <w:vMerge w:val="restart"/>
          </w:tcPr>
          <w:p>
            <w:pPr>
              <w:ind w:left="220"/>
              <w:spacing w:after="0"/>
              <w:rPr>
                <w:sz w:val="20"/>
                <w:szCs w:val="20"/>
                <w:color w:val="auto"/>
              </w:rPr>
            </w:pPr>
            <w:r>
              <w:rPr>
                <w:rFonts w:ascii="Arial" w:cs="Arial" w:eastAsia="Arial" w:hAnsi="Arial"/>
                <w:sz w:val="18"/>
                <w:szCs w:val="18"/>
                <w:color w:val="auto"/>
              </w:rPr>
              <w:t>(Note 5)</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3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(73,254)</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Income (loss) before (provision for) benefit from income taxes</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285,979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176,351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83,605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(18,148)</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(27,221)</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7,804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233,930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91,409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Vail Resorts,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223,391</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147,798</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84,059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amounts (Note 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w w:val="98"/>
              </w:rPr>
              <w:t>Basic net income (loss) per share attributable to Vail Resorts,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Diluted net income (loss) per share attributable to Vail Resorts,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0.88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58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Six Months Ended January 31,</w:t>
            </w:r>
          </w:p>
        </w:tc>
      </w:tr>
      <w:tr>
        <w:trPr>
          <w:trHeight w:val="210"/>
        </w:trPr>
        <w:tc>
          <w:tcPr>
            <w:tcW w:w="54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233,930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91,409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(48,857)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(33,720)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77,257</w:t>
            </w:r>
          </w:p>
        </w:tc>
      </w:tr>
      <w:tr>
        <w:trPr>
          <w:trHeight w:val="229"/>
        </w:trPr>
        <w:tc>
          <w:tcPr>
            <w:tcW w:w="5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 of hedging instruments,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4,483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8,828</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189,556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225,921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66,517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75,328</w:t>
            </w:r>
          </w:p>
        </w:tc>
      </w:tr>
      <w:tr>
        <w:trPr>
          <w:trHeight w:val="230"/>
        </w:trPr>
        <w:tc>
          <w:tcPr>
            <w:tcW w:w="5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5"/>
              </w:rPr>
              <w:t>Comprehensive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(16,233)</w:t>
            </w: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 attributable to Vail Resorts, Inc.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189,120</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208,411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66,678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59,095</w:t>
            </w:r>
          </w:p>
        </w:tc>
      </w:tr>
      <w:tr>
        <w:trPr>
          <w:trHeight w:val="21"/>
        </w:trPr>
        <w:tc>
          <w:tcPr>
            <w:tcW w:w="5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ind w:right="6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5"/>
              </w:rPr>
              <w:t>Additional Paid</w:t>
            </w:r>
          </w:p>
        </w:tc>
        <w:tc>
          <w:tcPr>
            <w:tcW w:w="120" w:type="dxa"/>
            <w:vAlign w:val="bottom"/>
          </w:tcPr>
          <w:p>
            <w:pPr>
              <w:spacing w:after="0"/>
              <w:rPr>
                <w:sz w:val="10"/>
                <w:szCs w:val="10"/>
                <w:color w:val="auto"/>
              </w:rPr>
            </w:pPr>
          </w:p>
        </w:tc>
        <w:tc>
          <w:tcPr>
            <w:tcW w:w="820" w:type="dxa"/>
            <w:vAlign w:val="bottom"/>
          </w:tcPr>
          <w:p>
            <w:pPr>
              <w:jc w:val="center"/>
              <w:ind w:right="21"/>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3"/>
                <w:szCs w:val="13"/>
                <w:b w:val="1"/>
                <w:bCs w:val="1"/>
                <w:color w:val="auto"/>
                <w:w w:val="94"/>
              </w:rPr>
              <w:t>Retained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41"/>
              <w:spacing w:after="0" w:line="122" w:lineRule="exact"/>
              <w:rPr>
                <w:sz w:val="20"/>
                <w:szCs w:val="20"/>
                <w:color w:val="auto"/>
              </w:rPr>
            </w:pPr>
            <w:r>
              <w:rPr>
                <w:rFonts w:ascii="Arial" w:cs="Arial" w:eastAsia="Arial" w:hAnsi="Arial"/>
                <w:sz w:val="13"/>
                <w:szCs w:val="13"/>
                <w:b w:val="1"/>
                <w:bCs w:val="1"/>
                <w:color w:val="auto"/>
                <w:w w:val="84"/>
              </w:rPr>
              <w:t>Resorts, Inc.</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Noncontrolling</w:t>
            </w: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w w:val="98"/>
              </w:rPr>
              <w:t>Common Stock</w:t>
            </w:r>
          </w:p>
        </w:tc>
        <w:tc>
          <w:tcPr>
            <w:tcW w:w="3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89"/>
              </w:rPr>
              <w:t>Treasury Stock</w:t>
            </w:r>
          </w:p>
        </w:tc>
        <w:tc>
          <w:tcPr>
            <w:tcW w:w="9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920" w:type="dxa"/>
            <w:vAlign w:val="bottom"/>
            <w:gridSpan w:val="2"/>
            <w:vMerge w:val="continue"/>
          </w:tcPr>
          <w:p>
            <w:pPr>
              <w:spacing w:after="0"/>
              <w:rPr>
                <w:sz w:val="10"/>
                <w:szCs w:val="10"/>
                <w:color w:val="auto"/>
              </w:rPr>
            </w:pPr>
          </w:p>
        </w:tc>
        <w:tc>
          <w:tcPr>
            <w:tcW w:w="9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2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9"/>
              </w:rPr>
              <w:t>in Capital</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(Loss) Income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6"/>
              </w:rPr>
              <w:t>Earnings</w:t>
            </w:r>
          </w:p>
        </w:tc>
        <w:tc>
          <w:tcPr>
            <w:tcW w:w="9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5"/>
              </w:rPr>
              <w:t>Equity</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5"/>
              </w:rPr>
              <w:t>Interests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2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87"/>
              </w:rPr>
              <w:t>Vail Resorts</w:t>
            </w: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4"/>
              </w:rPr>
              <w:t>Exchangeable</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October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1,130,318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(52,387)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492,136</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1,166,120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209,607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1,375,727</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147,798</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147,798</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149,130</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Arial" w:cs="Arial" w:eastAsia="Arial" w:hAnsi="Arial"/>
                <w:sz w:val="16"/>
                <w:szCs w:val="16"/>
                <w:color w:val="auto"/>
                <w:w w:val="96"/>
              </w:rPr>
              <w:t>Foreign currency translation adjustments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59,306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59,306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16,178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75,484</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Change in estimated fair value of hedging</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1,307</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instruments, net of tax</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208,411</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17,510</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225,921</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Equity component of 0.0% Convertible</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80,066</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80,066</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80,066</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net (Note 5)</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6,579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6,579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6,579</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0"/>
              </w:rPr>
              <w:t>Issuance of shares under share award plans,</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net of shares withheld for employee taxes</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4"/>
              </w:rPr>
              <w:t>Distributions to noncontrolling interests,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January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1,216,489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639,934</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1,460,703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1,686,446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October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1,192,901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44,689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598,796</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1,432,441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233,989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1,666,430</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223,391</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223,391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10,539</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233,930</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Arial" w:cs="Arial" w:eastAsia="Arial" w:hAnsi="Arial"/>
                <w:sz w:val="16"/>
                <w:szCs w:val="16"/>
                <w:color w:val="auto"/>
                <w:w w:val="96"/>
              </w:rPr>
              <w:t>Foreign currency translation adjustments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(38,754)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(38,754)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(10,103)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(48,857)</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Change in estimated fair value of hedging</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4,483</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4,483</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4,483</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instruments, net of tax</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189,120</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189,556</w:t>
            </w:r>
          </w:p>
        </w:tc>
        <w:tc>
          <w:tcPr>
            <w:tcW w:w="0" w:type="dxa"/>
            <w:vAlign w:val="bottom"/>
          </w:tcPr>
          <w:p>
            <w:pPr>
              <w:spacing w:after="0"/>
              <w:rPr>
                <w:sz w:val="1"/>
                <w:szCs w:val="1"/>
                <w:color w:val="auto"/>
              </w:rPr>
            </w:pPr>
          </w:p>
        </w:tc>
      </w:tr>
      <w:tr>
        <w:trPr>
          <w:trHeight w:val="213"/>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6,479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w:t>
            </w:r>
          </w:p>
        </w:tc>
        <w:tc>
          <w:tcPr>
            <w:tcW w:w="0" w:type="dxa"/>
            <w:vAlign w:val="bottom"/>
          </w:tcPr>
          <w:p>
            <w:pPr>
              <w:spacing w:after="0"/>
              <w:rPr>
                <w:sz w:val="1"/>
                <w:szCs w:val="1"/>
                <w:color w:val="auto"/>
              </w:rPr>
            </w:pPr>
          </w:p>
        </w:tc>
      </w:tr>
      <w:tr>
        <w:trPr>
          <w:trHeight w:val="166"/>
        </w:trPr>
        <w:tc>
          <w:tcPr>
            <w:tcW w:w="2940" w:type="dxa"/>
            <w:vAlign w:val="bottom"/>
          </w:tcPr>
          <w:p>
            <w:pPr>
              <w:ind w:left="20"/>
              <w:spacing w:after="0" w:line="166" w:lineRule="exact"/>
              <w:rPr>
                <w:sz w:val="20"/>
                <w:szCs w:val="20"/>
                <w:color w:val="auto"/>
              </w:rPr>
            </w:pPr>
            <w:r>
              <w:rPr>
                <w:rFonts w:ascii="Arial" w:cs="Arial" w:eastAsia="Arial" w:hAnsi="Arial"/>
                <w:sz w:val="16"/>
                <w:szCs w:val="16"/>
                <w:color w:val="auto"/>
                <w:w w:val="90"/>
              </w:rPr>
              <w:t>Issuance of shares under share award plans,</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(26,785)</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(26,784)</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(26,784)</w:t>
            </w:r>
          </w:p>
        </w:tc>
        <w:tc>
          <w:tcPr>
            <w:tcW w:w="0" w:type="dxa"/>
            <w:vAlign w:val="bottom"/>
          </w:tcPr>
          <w:p>
            <w:pPr>
              <w:spacing w:after="0"/>
              <w:rPr>
                <w:sz w:val="1"/>
                <w:szCs w:val="1"/>
                <w:color w:val="auto"/>
              </w:rPr>
            </w:pPr>
          </w:p>
        </w:tc>
      </w:tr>
      <w:tr>
        <w:trPr>
          <w:trHeight w:val="209"/>
        </w:trPr>
        <w:tc>
          <w:tcPr>
            <w:tcW w:w="2940" w:type="dxa"/>
            <w:vAlign w:val="bottom"/>
          </w:tcPr>
          <w:p>
            <w:pPr>
              <w:ind w:left="20"/>
              <w:spacing w:after="0"/>
              <w:rPr>
                <w:sz w:val="20"/>
                <w:szCs w:val="20"/>
                <w:color w:val="auto"/>
              </w:rPr>
            </w:pPr>
            <w:r>
              <w:rPr>
                <w:rFonts w:ascii="Arial" w:cs="Arial" w:eastAsia="Arial" w:hAnsi="Arial"/>
                <w:sz w:val="16"/>
                <w:szCs w:val="16"/>
                <w:color w:val="auto"/>
                <w:w w:val="98"/>
              </w:rPr>
              <w:t>net of shares withheld for employee taxes</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(Note 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(35,714)</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(35,714)</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4"/>
              </w:rPr>
              <w:t>Distributions to noncontrolling interests,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(6,283)</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(6,283)</w:t>
            </w: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January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1,172,595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786,473</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1,565,542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228,142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1,793,684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21"/>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ind w:right="6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5"/>
              </w:rPr>
              <w:t>Additional Paid</w:t>
            </w:r>
          </w:p>
        </w:tc>
        <w:tc>
          <w:tcPr>
            <w:tcW w:w="120" w:type="dxa"/>
            <w:vAlign w:val="bottom"/>
          </w:tcPr>
          <w:p>
            <w:pPr>
              <w:spacing w:after="0"/>
              <w:rPr>
                <w:sz w:val="10"/>
                <w:szCs w:val="10"/>
                <w:color w:val="auto"/>
              </w:rPr>
            </w:pPr>
          </w:p>
        </w:tc>
        <w:tc>
          <w:tcPr>
            <w:tcW w:w="820" w:type="dxa"/>
            <w:vAlign w:val="bottom"/>
          </w:tcPr>
          <w:p>
            <w:pPr>
              <w:jc w:val="center"/>
              <w:ind w:right="21"/>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3"/>
                <w:szCs w:val="13"/>
                <w:b w:val="1"/>
                <w:bCs w:val="1"/>
                <w:color w:val="auto"/>
                <w:w w:val="94"/>
              </w:rPr>
              <w:t>Retained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41"/>
              <w:spacing w:after="0" w:line="122" w:lineRule="exact"/>
              <w:rPr>
                <w:sz w:val="20"/>
                <w:szCs w:val="20"/>
                <w:color w:val="auto"/>
              </w:rPr>
            </w:pPr>
            <w:r>
              <w:rPr>
                <w:rFonts w:ascii="Arial" w:cs="Arial" w:eastAsia="Arial" w:hAnsi="Arial"/>
                <w:sz w:val="13"/>
                <w:szCs w:val="13"/>
                <w:b w:val="1"/>
                <w:bCs w:val="1"/>
                <w:color w:val="auto"/>
                <w:w w:val="84"/>
              </w:rPr>
              <w:t>Resorts, Inc.</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0"/>
              </w:rPr>
              <w:t>Noncontrolling</w:t>
            </w: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w w:val="98"/>
              </w:rPr>
              <w:t>Common Stock</w:t>
            </w:r>
          </w:p>
        </w:tc>
        <w:tc>
          <w:tcPr>
            <w:tcW w:w="3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89"/>
              </w:rPr>
              <w:t>Treasury Stock</w:t>
            </w:r>
          </w:p>
        </w:tc>
        <w:tc>
          <w:tcPr>
            <w:tcW w:w="9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920" w:type="dxa"/>
            <w:vAlign w:val="bottom"/>
            <w:gridSpan w:val="2"/>
            <w:vMerge w:val="continue"/>
          </w:tcPr>
          <w:p>
            <w:pPr>
              <w:spacing w:after="0"/>
              <w:rPr>
                <w:sz w:val="10"/>
                <w:szCs w:val="10"/>
                <w:color w:val="auto"/>
              </w:rPr>
            </w:pPr>
          </w:p>
        </w:tc>
        <w:tc>
          <w:tcPr>
            <w:tcW w:w="9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2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9"/>
              </w:rPr>
              <w:t>in Capital</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(Loss) Income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6"/>
              </w:rPr>
              <w:t>Earnings</w:t>
            </w:r>
          </w:p>
        </w:tc>
        <w:tc>
          <w:tcPr>
            <w:tcW w:w="9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5"/>
              </w:rPr>
              <w:t>Equity</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5"/>
              </w:rPr>
              <w:t>Interests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9"/>
        </w:trPr>
        <w:tc>
          <w:tcPr>
            <w:tcW w:w="2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87"/>
              </w:rPr>
              <w:t>Vail Resorts</w:t>
            </w: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4"/>
              </w:rPr>
              <w:t>Exchangeable</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July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1,131,624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(56,837)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645,902</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1,316,742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214,925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1,531,667</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(5,968)</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(5,968)</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(7,891)</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Arial" w:cs="Arial" w:eastAsia="Arial" w:hAnsi="Arial"/>
                <w:sz w:val="16"/>
                <w:szCs w:val="16"/>
                <w:color w:val="auto"/>
                <w:w w:val="96"/>
              </w:rPr>
              <w:t>Foreign currency translation adjustments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59,101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59,101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18,156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77,257</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Change in estimated fair value of hedging</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5,962</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5,962</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5,962</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instruments, net of tax</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59,095</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16,233</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75,328</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Equity component of 0.0% Convertible</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80,066</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80,066</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80,066</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net (Note 5)</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12,333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12,333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12,333</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0"/>
              </w:rPr>
              <w:t>Issuance of shares under share award plans,</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(7,534)</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(7,533)</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(7,533)</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net of shares withheld for employee taxes</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4"/>
              </w:rPr>
              <w:t>Distributions to noncontrolling interests,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(5,415)</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(5,415)</w:t>
            </w: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January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1,216,489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639,934</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1,460,703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1,686,446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July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1,196,993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773,752</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1,594,599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234,469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1,829,068</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84,059</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84,059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91,409</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Arial" w:cs="Arial" w:eastAsia="Arial" w:hAnsi="Arial"/>
                <w:sz w:val="16"/>
                <w:szCs w:val="16"/>
                <w:color w:val="auto"/>
                <w:w w:val="96"/>
              </w:rPr>
              <w:t>Foreign currency translation adjustments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(26,209)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(26,209)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(7,511)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(33,720)</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Change in estimated fair value of hedging</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8,828</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8,828</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8,828</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instruments, net of tax</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66,678</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66,517</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12,904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12,904</w:t>
            </w:r>
          </w:p>
        </w:tc>
        <w:tc>
          <w:tcPr>
            <w:tcW w:w="0" w:type="dxa"/>
            <w:vAlign w:val="bottom"/>
          </w:tcPr>
          <w:p>
            <w:pPr>
              <w:spacing w:after="0"/>
              <w:rPr>
                <w:sz w:val="1"/>
                <w:szCs w:val="1"/>
                <w:color w:val="auto"/>
              </w:rPr>
            </w:pPr>
          </w:p>
        </w:tc>
      </w:tr>
      <w:tr>
        <w:trPr>
          <w:trHeight w:val="166"/>
        </w:trPr>
        <w:tc>
          <w:tcPr>
            <w:tcW w:w="2940" w:type="dxa"/>
            <w:vAlign w:val="bottom"/>
          </w:tcPr>
          <w:p>
            <w:pPr>
              <w:ind w:left="20"/>
              <w:spacing w:after="0" w:line="166" w:lineRule="exact"/>
              <w:rPr>
                <w:sz w:val="20"/>
                <w:szCs w:val="20"/>
                <w:color w:val="auto"/>
              </w:rPr>
            </w:pPr>
            <w:r>
              <w:rPr>
                <w:rFonts w:ascii="Arial" w:cs="Arial" w:eastAsia="Arial" w:hAnsi="Arial"/>
                <w:sz w:val="16"/>
                <w:szCs w:val="16"/>
                <w:color w:val="auto"/>
                <w:w w:val="90"/>
              </w:rPr>
              <w:t>Issuance of shares under share award plans,</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(37,302)</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(37,301)</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(37,301)</w:t>
            </w:r>
          </w:p>
        </w:tc>
        <w:tc>
          <w:tcPr>
            <w:tcW w:w="0" w:type="dxa"/>
            <w:vAlign w:val="bottom"/>
          </w:tcPr>
          <w:p>
            <w:pPr>
              <w:spacing w:after="0"/>
              <w:rPr>
                <w:sz w:val="1"/>
                <w:szCs w:val="1"/>
                <w:color w:val="auto"/>
              </w:rPr>
            </w:pPr>
          </w:p>
        </w:tc>
      </w:tr>
      <w:tr>
        <w:trPr>
          <w:trHeight w:val="209"/>
        </w:trPr>
        <w:tc>
          <w:tcPr>
            <w:tcW w:w="2940" w:type="dxa"/>
            <w:vAlign w:val="bottom"/>
          </w:tcPr>
          <w:p>
            <w:pPr>
              <w:ind w:left="20"/>
              <w:spacing w:after="0"/>
              <w:rPr>
                <w:sz w:val="20"/>
                <w:szCs w:val="20"/>
                <w:color w:val="auto"/>
              </w:rPr>
            </w:pPr>
            <w:r>
              <w:rPr>
                <w:rFonts w:ascii="Arial" w:cs="Arial" w:eastAsia="Arial" w:hAnsi="Arial"/>
                <w:sz w:val="16"/>
                <w:szCs w:val="16"/>
                <w:color w:val="auto"/>
                <w:w w:val="98"/>
              </w:rPr>
              <w:t>net of shares withheld for employee taxes</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(Note 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(71,338)</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(71,338)</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(71,338)</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4"/>
              </w:rPr>
              <w:t>Distributions to noncontrolling interests,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(6,166)</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(6,166)</w:t>
            </w: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January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1,172,595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786,473</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90"/>
              </w:rPr>
              <w:t>(404,411)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1,565,542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228,142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1,793,684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Six Months Ended January 31,</w:t>
            </w:r>
          </w:p>
        </w:tc>
      </w:tr>
      <w:tr>
        <w:trPr>
          <w:trHeight w:val="187"/>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r>
      <w:tr>
        <w:trPr>
          <w:trHeight w:val="21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91,409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(7,891)</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123,559</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125,291</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12,904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12,333</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Deferred income taxes, net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9,214</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(8,779)</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estimated fair value of contingent consideration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18,780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Other non-cash income,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(602)</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(1,698)</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Trade receivables, net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178,252</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(9,014)</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(23,627)</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16,151</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89,502</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111,481</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147,614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220,846</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Income taxes payable - excess tax benefit from share award exercises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(17,018)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(1,478)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 - other</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(7,581)</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assets and liabilities,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(11,077)</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w:t>
            </w:r>
          </w:p>
        </w:tc>
      </w:tr>
      <w:tr>
        <w:trPr>
          <w:trHeight w:val="213"/>
        </w:trPr>
        <w:tc>
          <w:tcPr>
            <w:tcW w:w="78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611,329</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459,069</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(128,854)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(67,338)</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Acquisition of business, net of cash acquired</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(118,099)</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investing activities,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21,421</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r>
      <w:tr>
        <w:trPr>
          <w:trHeight w:val="209"/>
        </w:trPr>
        <w:tc>
          <w:tcPr>
            <w:tcW w:w="784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(225,532)</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(65,730)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Proceeds from borrowings under Whistler Credit Agreement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21,144</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borrowings under 0.0% Convertible Notes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575,000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Repayments of borrowings under Vail Holdings Credit Agreement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(31,250)</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(31,250)</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borrowings under Whistler Credit Agreement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Repayment of EB-5 Development Notes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(51,500)</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taxes paid for share award exercises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(37,302)</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(7,534)</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(71,338)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financing activities,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(6,158)</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(21,693)</w:t>
            </w:r>
          </w:p>
        </w:tc>
      </w:tr>
      <w:tr>
        <w:trPr>
          <w:trHeight w:val="209"/>
        </w:trPr>
        <w:tc>
          <w:tcPr>
            <w:tcW w:w="78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Net cash (used in) provided by financing activities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(220,693)</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513,287</w:t>
            </w:r>
          </w:p>
        </w:tc>
      </w:tr>
      <w:tr>
        <w:trPr>
          <w:trHeight w:val="213"/>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w:t>
            </w:r>
          </w:p>
        </w:tc>
      </w:tr>
      <w:tr>
        <w:trPr>
          <w:trHeight w:val="213"/>
        </w:trPr>
        <w:tc>
          <w:tcPr>
            <w:tcW w:w="7840" w:type="dxa"/>
            <w:vAlign w:val="bottom"/>
          </w:tcPr>
          <w:p>
            <w:pPr>
              <w:ind w:left="48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164,088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909,918</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Beginning of period</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1,258,574</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402,086</w:t>
            </w:r>
          </w:p>
        </w:tc>
      </w:tr>
      <w:tr>
        <w:trPr>
          <w:trHeight w:val="234"/>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1,422,662</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1,312,004</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99"/>
        </w:trPr>
        <w:tc>
          <w:tcPr>
            <w:tcW w:w="7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7840" w:type="dxa"/>
            <w:vAlign w:val="bottom"/>
          </w:tcPr>
          <w:p>
            <w:pPr>
              <w:ind w:left="220"/>
              <w:spacing w:after="0"/>
              <w:rPr>
                <w:sz w:val="20"/>
                <w:szCs w:val="20"/>
                <w:color w:val="auto"/>
              </w:rPr>
            </w:pPr>
            <w:r>
              <w:rPr>
                <w:rFonts w:ascii="Arial" w:cs="Arial" w:eastAsia="Arial" w:hAnsi="Arial"/>
                <w:sz w:val="16"/>
                <w:szCs w:val="16"/>
                <w:color w:val="auto"/>
              </w:rPr>
              <w:t>Accrued capital expenditures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17,388</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12,877</w:t>
            </w: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refers to “Resort” as the combination of the Mountain and Lodging segments. In the Mountain segment, the Company operates the following 40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863590" cy="3291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concessionaire properties including the Grand Teton Lodge Company, which operates destination resorts in Grand Teton National Park; a Colorado resort ground transportation company and mountain resort golf courses.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Vail Resorts Development Company, a wholly-owned subsidiary, conducts the operations of the Company’s Real Estate segment, which owns, develops and sells real estate in and around the Company’s resort communities.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peak operating season at the Company’s Australian resorts, NPS concessionaire properties and golf courses generally occurs from June to early October.</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 </w:t>
      </w:r>
      <w:r>
        <w:rPr>
          <w:rFonts w:ascii="Arial" w:cs="Arial" w:eastAsia="Arial" w:hAnsi="Arial"/>
          <w:sz w:val="17"/>
          <w:szCs w:val="17"/>
          <w:color w:val="auto"/>
        </w:rPr>
        <w:t>In the opinion of the Company, the accompanying Consolidated Condensed Financial Statements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2021.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2021 was derived from audited financial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 The recorded amounts for cash and cash equivalents, restricted cash, trade receivables, other current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payable and accrued liabilities approximate fair value due to their short-term nature. The fair value of amounts outstanding under the Company’s credit agreements and the Employee Housing Bonds (as defined in Note 5, Long-Term Debt) approximate book value due to the variable nature of the interest rate associated with the debt. The estimated fair values of the 6.25% Notes and the 0.0% Convertible Notes (each as defined in Note 5, Long-Term Debt) are based on quoted market prices (a Level 2 input). The estimated fair value of the EPR Secured Notes (as defined in Note 5, Long-Term Debt) has been estimated using analyses based on current borrowing rates for debt with similar remaining maturities and ratings (a Level 2 input). The carrying values, including any unamortized premium or discount, and estimated fair values of the 6.25% Notes, 0.0% Convertible Notes and EPR Secured Notes as of January 31, 2022 are presented below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right"/>
              <w:ind w:right="1095"/>
              <w:spacing w:after="0"/>
              <w:rPr>
                <w:sz w:val="20"/>
                <w:szCs w:val="20"/>
                <w:color w:val="auto"/>
              </w:rPr>
            </w:pPr>
            <w:r>
              <w:rPr>
                <w:rFonts w:ascii="Arial" w:cs="Arial" w:eastAsia="Arial" w:hAnsi="Arial"/>
                <w:sz w:val="14"/>
                <w:szCs w:val="14"/>
                <w:b w:val="1"/>
                <w:bCs w:val="1"/>
                <w:color w:val="auto"/>
              </w:rPr>
              <w:t>January 31, 2022</w:t>
            </w:r>
          </w:p>
        </w:tc>
      </w:tr>
      <w:tr>
        <w:trPr>
          <w:trHeight w:val="187"/>
        </w:trPr>
        <w:tc>
          <w:tcPr>
            <w:tcW w:w="7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Estimated Fair Value</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623,124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0.0% Convertible Notes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487,824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576,466</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EPR Secured Notes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134,909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203,120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through December 31, 2022. The amendments in this update may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 All other amendments should be applied on a prospective basis. The Company is in the process of evaluating the effect that the adoption of this standard will have on its Consolidated Condensed Financial Statements, but does not expect it will have a material effect.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7"/>
          <w:szCs w:val="17"/>
          <w:color w:val="auto"/>
        </w:rPr>
        <w:t>In August 2020, the FASB issued ASU 2020-06, “Accounting for Convertible Instruments and Contracts in an Entity’s Own Equity” which simplifies the guidance in Accounting Standards Codifications (“ASC”) 470-20, “Debt – Debt with Conversion and Other Options” by reducing the number of accounting separation models for convertible instruments, amending the guidance in ASC 815-40, “Derivatives and Hedging – Contracts in Entity’s Own Equity” for certain contracts in an entity’s own equity that are currently accounted for as derivatives, and requiring entities to use the if-converted method for all convertible instruments in the diluted earnings per share (“EPS”) calculation. This standard will be effective for fiscal years beginning after December 15, 2021, including interim periods within those fiscal years (the Company’s first quarter of the fiscal year ending July 31, 2023). Early adoption is permitted, but no earlier than fiscal years beginning after December 15, 2020, including interim periods within those fiscal years (the Company’s first quarter of the fiscal year ending July 31, 2022). This standard allows for a modified retrospective or fully retrospective method of transition. The Company will adopt ASU 2020-06 on August 1, 2022 and expects to use the modified retrospective method, and therefore financial information for periods before August 1, 2022 will remain unchanged. As a result of the adoption of ASU 2020-06, the Company expects that it will reclassify the equity component of its 0.0% Convertible Notes (as defined in Note 5, Long-Term Debt) to long-term debt, net and it will no longer record interest expense related to the amortization of the debt discount.</w:t>
      </w:r>
    </w:p>
    <w:p>
      <w:pPr>
        <w:spacing w:after="0" w:line="20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the sale of pass products is recognized as lift revenue throughout the ski season, as the Company's performance obligations are satisfied as control of the service (e.g., access to ski areas throughout the ski season) is transferred to customers. In accordance with Topic 606, the Company estimates progress towards satisfaction of its performance obligations using an output method that best depicts the transfer of control of the service to its customers.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Historically, the output method measured progress toward satisfaction of the Company’s performance obligations based on the estimated number of pass product holder visits relative to total expected visits, based on historical data, which the Company believed to provide a faithful depiction of its customers’ pass product usage. When sufficient historical data to determine usage patterns was not available, such as in the case of new product offerings, progress was measured on a straight-line basis throughout the ski season until sufficient historical usage patterns were available. Beginning August 1, 2021, progress towards satisfaction of the Company’s performance obligations for all passes is measured using an output method based on the skiable days of the season to date relative to the total estimated skiable days of the season, which effectively results in revenue being recorded on a straight-line basis throughout the ski season. Total estimated skiable days is based on actual resort opening and estimated closing dates. The Company believes this method best estimates the value transferred to the customer to date relative to the remaining services promised under the contract. Due to the strong correlation between historical pass product usage and skiable days, the change in the Company’s method of estimating progress toward satisfaction of the performance obligation alone does not have a material effect on the recognition pattern of pass product revenue.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Disaggregation of Revenues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three and six months ended January 31, 2022 and 2021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260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January 31,</w:t>
            </w:r>
          </w:p>
        </w:tc>
      </w:tr>
      <w:tr>
        <w:trPr>
          <w:trHeight w:val="216"/>
        </w:trPr>
        <w:tc>
          <w:tcPr>
            <w:tcW w:w="484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(1)</w:t>
            </w: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Lift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521,582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430,775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535,911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463,866</w:t>
            </w: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92,072</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93,545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58,434</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54,049</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66,569</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35,295</w:t>
            </w: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126,831</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155,207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112,432</w:t>
            </w:r>
          </w:p>
        </w:tc>
      </w:tr>
      <w:tr>
        <w:trPr>
          <w:trHeight w:val="229"/>
        </w:trPr>
        <w:tc>
          <w:tcPr>
            <w:tcW w:w="4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39,841</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92,443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71,430</w:t>
            </w:r>
          </w:p>
        </w:tc>
      </w:tr>
      <w:tr>
        <w:trPr>
          <w:trHeight w:val="223"/>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834,375</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641,978</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943,675</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741,457</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Lodging net revenue: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Owned hotel rooms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13,584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35,067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14,073</w:t>
            </w:r>
          </w:p>
        </w:tc>
      </w:tr>
      <w:tr>
        <w:trPr>
          <w:trHeight w:val="229"/>
        </w:trPr>
        <w:tc>
          <w:tcPr>
            <w:tcW w:w="4840" w:type="dxa"/>
            <w:vAlign w:val="bottom"/>
          </w:tcPr>
          <w:p>
            <w:pPr>
              <w:ind w:left="240"/>
              <w:spacing w:after="0"/>
              <w:rPr>
                <w:sz w:val="20"/>
                <w:szCs w:val="20"/>
                <w:color w:val="auto"/>
              </w:rPr>
            </w:pPr>
            <w:r>
              <w:rPr>
                <w:rFonts w:ascii="Arial" w:cs="Arial" w:eastAsia="Arial" w:hAnsi="Arial"/>
                <w:sz w:val="18"/>
                <w:szCs w:val="18"/>
                <w:color w:val="auto"/>
              </w:rPr>
              <w:t>Managed condominium rooms</w:t>
            </w:r>
          </w:p>
        </w:tc>
        <w:tc>
          <w:tcPr>
            <w:tcW w:w="3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33,125</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46,209</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29,665</w:t>
            </w:r>
          </w:p>
        </w:tc>
      </w:tr>
      <w:tr>
        <w:trPr>
          <w:trHeight w:val="229"/>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Dining</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8,375</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18,650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Transportation</w:t>
            </w:r>
          </w:p>
        </w:tc>
        <w:tc>
          <w:tcPr>
            <w:tcW w:w="3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5,766</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7,559</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2,947</w:t>
            </w:r>
          </w:p>
        </w:tc>
      </w:tr>
      <w:tr>
        <w:trPr>
          <w:trHeight w:val="229"/>
        </w:trPr>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Golf</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5,118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r>
      <w:tr>
        <w:trPr>
          <w:trHeight w:val="229"/>
        </w:trPr>
        <w:tc>
          <w:tcPr>
            <w:tcW w:w="48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9,269</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21,736</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17,266</w:t>
            </w:r>
          </w:p>
        </w:tc>
      </w:tr>
      <w:tr>
        <w:trPr>
          <w:trHeight w:val="223"/>
        </w:trPr>
        <w:tc>
          <w:tcPr>
            <w:tcW w:w="4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70,119</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134,339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71,183</w:t>
            </w:r>
          </w:p>
        </w:tc>
      </w:tr>
      <w:tr>
        <w:trPr>
          <w:trHeight w:val="229"/>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1,861</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w:t>
            </w:r>
          </w:p>
        </w:tc>
      </w:tr>
      <w:tr>
        <w:trPr>
          <w:trHeight w:val="223"/>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71,980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42,351</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137,941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74,404</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906,355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684,329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1,081,616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815,861</w:t>
            </w:r>
          </w:p>
        </w:tc>
      </w:tr>
      <w:tr>
        <w:trPr>
          <w:trHeight w:val="229"/>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23"/>
        </w:trPr>
        <w:tc>
          <w:tcPr>
            <w:tcW w:w="4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net revenue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906,535</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684,644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1,082,111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816,430</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hanging="9"/>
        <w:spacing w:after="0" w:line="227" w:lineRule="auto"/>
        <w:tabs>
          <w:tab w:leader="none" w:pos="439"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Segment results for the three and six months ended January 31, 2021 have been retrospectively adjusted to reflect current period presentation. See Note 10 for additional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Deferred revenue balances of a short-term nature were $611.5 million and $456.5 million as of January 31, 2022 and July 31, 2021, respectively. Deferred revenue balances of a long-term nature, comprised primarily of long-term private club initiation fee revenue, was $120.6 million and $121.0 million as of January 31, 2022 and July 31, 2021, respectively. For the three and six months ended January 31, 2022, the Company recognized approximately $177.6 million and $223.0 million, respectively, of revenue that was included in the deferred revenue balance as of July 31, 2021. As of January 31, 2022, the weighted average remaining period over which revenue for unsatisfied performance obligations on long-term private club contracts will be recognized was approximately 16 years. Trade receivables, net were $167.1 million and $345.4 million as of January 31, 2022 and July 31, 2021,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January 31, 2022, $11.7 million of costs to obtain contracts with customers were recorded within other current assets on the Company’s Consolidated Condensed Balance Sheet. The amounts capitalized are subject to amortization generally beginning in the second quarter of fiscal 2022, commensurate with the revenue recognized for related pass products. The Company recorded amortization of $10.0 million and $10.1 million, respectively, for these costs during the three and six months ended January 31, 2022, which was recorded within Mountain and Lodging operating expenses on the Company’s Consolidated Condensed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Income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EPS excludes dilution and is computed by dividing net income (loss)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three months ended January 31, 2022 and 2021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5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r>
      <w:tr>
        <w:trPr>
          <w:trHeight w:val="183"/>
        </w:trPr>
        <w:tc>
          <w:tcPr>
            <w:tcW w:w="5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Diluted</w:t>
            </w:r>
          </w:p>
        </w:tc>
      </w:tr>
      <w:tr>
        <w:trPr>
          <w:trHeight w:val="224"/>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223,391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223,391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147,798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147,798</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40,505</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40,505</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40,253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40,253</w:t>
            </w:r>
          </w:p>
        </w:tc>
      </w:tr>
      <w:tr>
        <w:trPr>
          <w:trHeight w:val="229"/>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5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40,538</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40,538</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40,288</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40,288</w:t>
            </w:r>
          </w:p>
        </w:tc>
      </w:tr>
      <w:tr>
        <w:trPr>
          <w:trHeight w:val="22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282</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40,538</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40,820</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40,288</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40,809</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5.47</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zero and 5,000 for the three months ended January 31, 2022 and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six months ended January 31, 2022 and 2021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Six Months Ended January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5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r>
      <w:tr>
        <w:trPr>
          <w:trHeight w:val="183"/>
        </w:trPr>
        <w:tc>
          <w:tcPr>
            <w:tcW w:w="5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Net income (loss)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84,059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84,059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(5,968)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(5,968)</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40,460</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40,460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40,233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40,233</w:t>
            </w:r>
          </w:p>
        </w:tc>
      </w:tr>
      <w:tr>
        <w:trPr>
          <w:trHeight w:val="230"/>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40,493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40,493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40,268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40,268</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344</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40,493</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40,837</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40,268</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40,268</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2.08</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number of shares issuable upon the exercise of share-based awards excluded from the calculation of diluted EPS because the effect of their inclusion would have been anti-dilutive totaled approximately 1,000 and 0.6 million for the six months ended January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18"/>
          <w:szCs w:val="18"/>
          <w:color w:val="auto"/>
        </w:rPr>
        <w:t>On December 18,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treasury method to calculate diluted EPS, and if the conversion value of the 0.0% Convertible Notes exceeds their conversion price of $407.17 per share of common stock, then the Company will calculate its diluted EPS as if all the notes were converted and the Company issued shares of its common stock to settle the excess value over the conversion price. However, if reflecting the 0.0% Convertible Notes in diluted EPS in this manner is anti-dilutive, or if the conversion value of the notes does not exceed their initial conversion amount for a reporting period, then the shares underlying the notes will not be reflected in the Company’s calculation of diluted EPS. For the three and six months ended January 31, 2022 and January 31, 2021, the average price of Vail Shares did not exceed the conversion price and therefore there was no impact to diluted EPS during those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and six months ended January 31, 2022, the Company paid cash dividends of $0.88 and $1.76 per share, respectively ($35.7 million and $71.3 million, respectively, including cash dividends paid to Exchangeco shareholders). The Company did not pay cash dividends during the three and six months ended January 31, 2021. On March 11, 2022, the Company’s Board of Directors approved a cash dividend of $1.91 per share payable on April 14, 2022 to stockholders of record as of March 30, 2022. Additionally, a Canadian dollar equivalent dividend on the Exchangeco Shares will be payable on April 14, 2022 to shareholders of record on March 30, 2022.</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January 31, 2022, July 31, 2021 and January 31, 2021 is summarized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Maturity</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January 31, 2022</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July 31, 2021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January 31, 2021</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14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9"/>
              </w:rPr>
              <w:t>2024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1,109,375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1,140,625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1,171,875</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89"/>
              </w:rPr>
              <w:t>2024</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14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9"/>
              </w:rPr>
              <w:t>2025</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0.0% Convertible Notes (b)</w:t>
            </w:r>
          </w:p>
        </w:tc>
        <w:tc>
          <w:tcPr>
            <w:tcW w:w="1480" w:type="dxa"/>
            <w:vAlign w:val="bottom"/>
          </w:tcPr>
          <w:p>
            <w:pPr>
              <w:jc w:val="center"/>
              <w:ind w:left="152"/>
              <w:spacing w:after="0"/>
              <w:rPr>
                <w:sz w:val="20"/>
                <w:szCs w:val="20"/>
                <w:color w:val="auto"/>
              </w:rPr>
            </w:pPr>
            <w:r>
              <w:rPr>
                <w:rFonts w:ascii="Arial" w:cs="Arial" w:eastAsia="Arial" w:hAnsi="Arial"/>
                <w:sz w:val="18"/>
                <w:szCs w:val="18"/>
                <w:color w:val="auto"/>
                <w:w w:val="89"/>
              </w:rPr>
              <w:t>2026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575,000</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575,000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(c)</w:t>
            </w:r>
          </w:p>
        </w:tc>
        <w:tc>
          <w:tcPr>
            <w:tcW w:w="14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9"/>
              </w:rPr>
              <w:t>2026</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21,243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44,891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60,243</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EPR Secured Notes (d)</w:t>
            </w:r>
          </w:p>
        </w:tc>
        <w:tc>
          <w:tcPr>
            <w:tcW w:w="1480" w:type="dxa"/>
            <w:vAlign w:val="bottom"/>
          </w:tcPr>
          <w:p>
            <w:pPr>
              <w:jc w:val="center"/>
              <w:ind w:left="172"/>
              <w:spacing w:after="0"/>
              <w:rPr>
                <w:sz w:val="20"/>
                <w:szCs w:val="20"/>
                <w:color w:val="auto"/>
              </w:rPr>
            </w:pPr>
            <w:r>
              <w:rPr>
                <w:rFonts w:ascii="Arial" w:cs="Arial" w:eastAsia="Arial" w:hAnsi="Arial"/>
                <w:sz w:val="18"/>
                <w:szCs w:val="18"/>
                <w:color w:val="auto"/>
                <w:w w:val="90"/>
              </w:rPr>
              <w:t>2034-2036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114,162</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114,162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114,162</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EB-5 Development Notes</w:t>
            </w:r>
          </w:p>
        </w:tc>
        <w:tc>
          <w:tcPr>
            <w:tcW w:w="14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9"/>
              </w:rPr>
              <w:t>2021</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51,500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1480" w:type="dxa"/>
            <w:vAlign w:val="bottom"/>
          </w:tcPr>
          <w:p>
            <w:pPr>
              <w:jc w:val="center"/>
              <w:ind w:left="172"/>
              <w:spacing w:after="0"/>
              <w:rPr>
                <w:sz w:val="20"/>
                <w:szCs w:val="20"/>
                <w:color w:val="auto"/>
              </w:rPr>
            </w:pPr>
            <w:r>
              <w:rPr>
                <w:rFonts w:ascii="Arial" w:cs="Arial" w:eastAsia="Arial" w:hAnsi="Arial"/>
                <w:sz w:val="18"/>
                <w:szCs w:val="18"/>
                <w:color w:val="auto"/>
                <w:w w:val="90"/>
              </w:rPr>
              <w:t>2027-2039</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52,575</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52,575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52,575</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14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89"/>
              </w:rPr>
              <w:t>2063</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354,713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351,820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348,927</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0"/>
              </w:rPr>
              <w:t>2022-2034</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17,562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17,941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17,875</w:t>
            </w:r>
          </w:p>
        </w:tc>
      </w:tr>
      <w:tr>
        <w:trPr>
          <w:trHeight w:val="223"/>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2,844,630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2,948,514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2,992,157</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w w:val="98"/>
              </w:rPr>
              <w:t>Less: Unamortized premiums, discounts and debt issuance costs</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85,295</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98,222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111,346</w:t>
            </w: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(e)</w:t>
            </w:r>
          </w:p>
        </w:tc>
        <w:tc>
          <w:tcPr>
            <w:tcW w:w="14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63,746</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114,117</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112,796</w:t>
            </w:r>
          </w:p>
        </w:tc>
      </w:tr>
      <w:tr>
        <w:trPr>
          <w:trHeight w:val="223"/>
        </w:trPr>
        <w:tc>
          <w:tcPr>
            <w:tcW w:w="5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Long-term debt, net</w:t>
            </w:r>
          </w:p>
        </w:tc>
        <w:tc>
          <w:tcPr>
            <w:tcW w:w="1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2,695,589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2,736,175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2,768,015</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left="580" w:hanging="329"/>
        <w:spacing w:after="0" w:line="253" w:lineRule="auto"/>
        <w:tabs>
          <w:tab w:leader="none" w:pos="577"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18, 2020, Vail Holdings, Inc. (“VHI”), certain subsidiaries of the Company, as guarantors, Bank of America, N.A. (“Bank of America”), as administrative agent, and certain Lenders entered into a Fourth Amendment to the Vail Holdings Credit Agreement (the “Fourth Amendment”). Pursuant to the Fourth Amendment, among other terms, VHI was exempted from complying with certain financial maintenance covenants for fiscal quarters ending through January 31, 2022 (unless VHI made a one-time irrevocable election to terminate such exemption period prior to such date) (such period, the “Financial Covenants Temporary Waiver Period”), and the Company was prohibited from undertaking certain activities during such period. On October 31, 2021, VHI exited the Financial Covenants Temporary Waiver Period. As a result, the Company was required to comply with the financial maintenance covenants in the Vail Holdings Credit Agreement starting with the fiscal quarter ended October 31, 2021, and the Company is no longer subject to the covenant modifications that were applicable during the Financial Covenants Temporary Waiver Period.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both"/>
        <w:ind w:left="329"/>
        <w:spacing w:after="0" w:line="286" w:lineRule="auto"/>
        <w:rPr>
          <w:sz w:val="20"/>
          <w:szCs w:val="20"/>
          <w:color w:val="auto"/>
        </w:rPr>
      </w:pPr>
      <w:r>
        <w:rPr>
          <w:rFonts w:ascii="Arial" w:cs="Arial" w:eastAsia="Arial" w:hAnsi="Arial"/>
          <w:sz w:val="16"/>
          <w:szCs w:val="16"/>
          <w:color w:val="auto"/>
        </w:rPr>
        <w:t>As of January 31, 2022, the Vail Holdings Credit Agreement consists of a $500.0 million revolving credit facility and a term loan facility with $1.1 billion outstanding. The term loan facility is subject to quarterly amortization of principal of approximately $15.6 million, in equal installments, for a total of 5% of principal payable in each year and the final payment of all amounts outstanding, plus accrued and unpaid interest due in September 2024.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LIBOR plus 1.50% as of January 31, 2022 (1.61% as of January 31, 2022). The Vail Holdings Credit Agreement, as amended by the Fourth Amendment, contains customary LIBOR replacement language, including, but not limited to, the use of rates based on the secured overnight financing rate (“SOFR”). SOFR is a broad measure of the cost of borrowing cash in the overnight U.S. Treasury repo market and is administered by the Federal Reserve Bank of New York.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 as of January 31, 2022).</w:t>
      </w:r>
    </w:p>
    <w:p>
      <w:pPr>
        <w:spacing w:after="0" w:line="201" w:lineRule="exact"/>
        <w:rPr>
          <w:sz w:val="20"/>
          <w:szCs w:val="20"/>
          <w:color w:val="auto"/>
        </w:rPr>
      </w:pPr>
    </w:p>
    <w:p>
      <w:pPr>
        <w:jc w:val="both"/>
        <w:ind w:left="329" w:hanging="329"/>
        <w:spacing w:after="0" w:line="257" w:lineRule="auto"/>
        <w:tabs>
          <w:tab w:leader="none" w:pos="32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separately accounts for the liability and equity components of the 0.0% Convertible Notes. The liability component at issuance was recognized at estimated fair value based on the fair value of a similar debt instrument that does not have an embedded convertible feature. As of the issuance date, the estimated liability was determined to be $465.3 million and was recorded within long-term debt, net on the Company’s Consolidated Condensed Balance Sheet. The excess of the principal amount of the 0.0% Convertible Notes over the initial fair value of the liability component represented a debt discount of $109.7 million as of the issuance date and is being amortized to interest expense, net over the term. The balance of the unamortized debt discount was $87.2 million as of January 31, 2022.</w:t>
      </w:r>
    </w:p>
    <w:p>
      <w:pPr>
        <w:spacing w:after="0" w:line="202" w:lineRule="exact"/>
        <w:rPr>
          <w:rFonts w:ascii="Arial" w:cs="Arial" w:eastAsia="Arial" w:hAnsi="Arial"/>
          <w:sz w:val="17"/>
          <w:szCs w:val="17"/>
          <w:color w:val="auto"/>
        </w:rPr>
      </w:pPr>
    </w:p>
    <w:p>
      <w:pPr>
        <w:jc w:val="both"/>
        <w:ind w:left="329" w:hanging="329"/>
        <w:spacing w:after="0" w:line="269" w:lineRule="auto"/>
        <w:tabs>
          <w:tab w:leader="none" w:pos="326" w:val="left"/>
        </w:tabs>
        <w:numPr>
          <w:ilvl w:val="0"/>
          <w:numId w:val="8"/>
        </w:numPr>
        <w:rPr>
          <w:rFonts w:ascii="Arial" w:cs="Arial" w:eastAsia="Arial" w:hAnsi="Arial"/>
          <w:sz w:val="17"/>
          <w:szCs w:val="17"/>
          <w:color w:val="auto"/>
        </w:rPr>
      </w:pPr>
      <w:r>
        <w:rPr>
          <w:rFonts w:ascii="Arial" w:cs="Arial" w:eastAsia="Arial" w:hAnsi="Arial"/>
          <w:sz w:val="17"/>
          <w:szCs w:val="17"/>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During the three months ended January 31, 2022, the Company entered into an amendment of the Whistler Credit Agreement which extended the maturity date of the revolving credit facility to December 15, 2026. No other material terms of the Whistler Credit Agreement were amended. As of January 31, 2022, all borrowings under the Whistler Credit Agreement were made in Canadian dollars and by way of the issuance of bankers’ acceptances plus 1.75% (approximately 2.31% as of January 31, 2022). The Whistler Credit Agreement also includes a quarterly unused commitment fee based on the Consolidated Total Leverage Ratio, which as of January 31, 2022 is equal to 0.4% per annum.</w:t>
      </w:r>
    </w:p>
    <w:p>
      <w:pPr>
        <w:spacing w:after="0" w:line="212" w:lineRule="exact"/>
        <w:rPr>
          <w:rFonts w:ascii="Arial" w:cs="Arial" w:eastAsia="Arial" w:hAnsi="Arial"/>
          <w:sz w:val="17"/>
          <w:szCs w:val="17"/>
          <w:color w:val="auto"/>
        </w:rPr>
      </w:pPr>
    </w:p>
    <w:p>
      <w:pPr>
        <w:jc w:val="both"/>
        <w:ind w:left="329" w:hanging="329"/>
        <w:spacing w:after="0" w:line="286" w:lineRule="auto"/>
        <w:tabs>
          <w:tab w:leader="none" w:pos="323"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September 24,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57" w:lineRule="exact"/>
        <w:rPr>
          <w:sz w:val="20"/>
          <w:szCs w:val="20"/>
          <w:color w:val="auto"/>
        </w:rPr>
      </w:pPr>
    </w:p>
    <w:p>
      <w:pPr>
        <w:ind w:left="969" w:hanging="416"/>
        <w:spacing w:after="0" w:line="277" w:lineRule="auto"/>
        <w:tabs>
          <w:tab w:leader="none" w:pos="969"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The Alpine Valley Secured Note. </w:t>
      </w:r>
      <w:r>
        <w:rPr>
          <w:rFonts w:ascii="Arial" w:cs="Arial" w:eastAsia="Arial" w:hAnsi="Arial"/>
          <w:sz w:val="18"/>
          <w:szCs w:val="18"/>
          <w:color w:val="auto"/>
        </w:rPr>
        <w:t>The $4.6 million Alpine Valley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January 31, 2022, interest on this note accrued at a rate of 11.55%.</w:t>
      </w:r>
    </w:p>
    <w:p>
      <w:pPr>
        <w:spacing w:after="0" w:line="62" w:lineRule="exact"/>
        <w:rPr>
          <w:sz w:val="20"/>
          <w:szCs w:val="20"/>
          <w:color w:val="auto"/>
        </w:rPr>
      </w:pPr>
    </w:p>
    <w:p>
      <w:pPr>
        <w:ind w:left="969" w:hanging="440"/>
        <w:spacing w:after="0" w:line="308" w:lineRule="auto"/>
        <w:tabs>
          <w:tab w:leader="none" w:pos="96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The Boston Mills/Brandywine Secured Note. </w:t>
      </w:r>
      <w:r>
        <w:rPr>
          <w:rFonts w:ascii="Arial" w:cs="Arial" w:eastAsia="Arial" w:hAnsi="Arial"/>
          <w:sz w:val="17"/>
          <w:szCs w:val="17"/>
          <w:color w:val="auto"/>
        </w:rPr>
        <w:t>The $23.3 million Boston Mills/Brandywine Secured Note provides for interest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its maturity on December 1, 2034. As of January 31, 2022, interest on this note accrued at a rate of 11.07%.</w:t>
      </w:r>
    </w:p>
    <w:p>
      <w:pPr>
        <w:spacing w:after="0" w:line="38" w:lineRule="exact"/>
        <w:rPr>
          <w:rFonts w:ascii="Arial" w:cs="Arial" w:eastAsia="Arial" w:hAnsi="Arial"/>
          <w:sz w:val="17"/>
          <w:szCs w:val="17"/>
          <w:color w:val="auto"/>
        </w:rPr>
      </w:pPr>
    </w:p>
    <w:p>
      <w:pPr>
        <w:ind w:left="969" w:right="20" w:hanging="490"/>
        <w:spacing w:after="0" w:line="308" w:lineRule="auto"/>
        <w:tabs>
          <w:tab w:leader="none" w:pos="96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The Jack Frost/Big Boulder Secured Note. </w:t>
      </w:r>
      <w:r>
        <w:rPr>
          <w:rFonts w:ascii="Arial" w:cs="Arial" w:eastAsia="Arial" w:hAnsi="Arial"/>
          <w:sz w:val="17"/>
          <w:szCs w:val="17"/>
          <w:color w:val="auto"/>
        </w:rPr>
        <w:t>The $14.3 million Jack Frost/Big Boulder Secured Note provides for interest payments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its maturity on December 1, 2034. As of January 31, 2022, interest on this note accrued at a rate of 11.07%.</w:t>
      </w:r>
    </w:p>
    <w:p>
      <w:pPr>
        <w:spacing w:after="0" w:line="38" w:lineRule="exact"/>
        <w:rPr>
          <w:rFonts w:ascii="Arial" w:cs="Arial" w:eastAsia="Arial" w:hAnsi="Arial"/>
          <w:sz w:val="17"/>
          <w:szCs w:val="17"/>
          <w:color w:val="auto"/>
        </w:rPr>
      </w:pPr>
    </w:p>
    <w:p>
      <w:pPr>
        <w:ind w:left="969" w:hanging="415"/>
        <w:spacing w:after="0" w:line="277" w:lineRule="auto"/>
        <w:tabs>
          <w:tab w:leader="none" w:pos="954"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Mount Snow Secured Note. </w:t>
      </w:r>
      <w:r>
        <w:rPr>
          <w:rFonts w:ascii="Arial" w:cs="Arial" w:eastAsia="Arial" w:hAnsi="Arial"/>
          <w:sz w:val="18"/>
          <w:szCs w:val="18"/>
          <w:color w:val="auto"/>
        </w:rPr>
        <w:t>The $51.1 million Mount Snow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January 31, 2022, interest on this note accrued at a rate of 11.96%.</w:t>
      </w:r>
    </w:p>
    <w:p>
      <w:pPr>
        <w:spacing w:after="0" w:line="200" w:lineRule="exact"/>
        <w:rPr>
          <w:sz w:val="20"/>
          <w:szCs w:val="20"/>
          <w:color w:val="auto"/>
        </w:rPr>
      </w:pPr>
    </w:p>
    <w:p>
      <w:pPr>
        <w:spacing w:after="0" w:line="30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895" w:right="339" w:bottom="1440" w:gutter="0" w:footer="0" w:header="0"/>
        </w:sectPr>
      </w:pPr>
    </w:p>
    <w:bookmarkStart w:id="15" w:name="page16"/>
    <w:bookmarkEnd w:id="15"/>
    <w:p>
      <w:pPr>
        <w:ind w:left="1220" w:right="20" w:hanging="365"/>
        <w:spacing w:after="0" w:line="277" w:lineRule="auto"/>
        <w:tabs>
          <w:tab w:leader="none" w:pos="120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The Hunter Mountain Secured Note. </w:t>
      </w:r>
      <w:r>
        <w:rPr>
          <w:rFonts w:ascii="Arial" w:cs="Arial" w:eastAsia="Arial" w:hAnsi="Arial"/>
          <w:sz w:val="18"/>
          <w:szCs w:val="18"/>
          <w:color w:val="auto"/>
        </w:rPr>
        <w:t>The $21.0 million Hunter Mountain Secured Note provides for interest payments through its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5, 2036. As of January 31, 2022, interest on this note accrued at a rate of 8.72%.</w:t>
      </w:r>
    </w:p>
    <w:p>
      <w:pPr>
        <w:spacing w:after="0" w:line="62" w:lineRule="exact"/>
        <w:rPr>
          <w:sz w:val="20"/>
          <w:szCs w:val="20"/>
          <w:color w:val="auto"/>
        </w:rPr>
      </w:pPr>
    </w:p>
    <w:p>
      <w:pPr>
        <w:jc w:val="both"/>
        <w:ind w:left="580"/>
        <w:spacing w:after="0" w:line="311" w:lineRule="auto"/>
        <w:rPr>
          <w:sz w:val="20"/>
          <w:szCs w:val="20"/>
          <w:color w:val="auto"/>
        </w:rPr>
      </w:pPr>
      <w:r>
        <w:rPr>
          <w:rFonts w:ascii="Arial" w:cs="Arial" w:eastAsia="Arial" w:hAnsi="Arial"/>
          <w:sz w:val="16"/>
          <w:szCs w:val="16"/>
          <w:color w:val="auto"/>
        </w:rPr>
        <w:t>In addition, Peak Resorts is required to maintain a debt service reserve account which amounts are applied to fund interest payments and other amounts due and payable to EPR. As of January 31, 2022, the Company had funded the EPR debt service reserve account in an amount equal to approximately $3.2 million, which was included in other current assets in the Company’s Consolidated Condensed Balance Sheet.</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  Current maturities represent principal payments due in the next 12 months.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Aggregate maturities of debt outstanding as of January 31, 2022 reflected by fiscal year (August 1 through July 31)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(February 2022 through July 2022)</w:t>
            </w:r>
          </w:p>
        </w:tc>
        <w:tc>
          <w:tcPr>
            <w:tcW w:w="3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31,701</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2023</w:t>
            </w:r>
          </w:p>
        </w:tc>
        <w:tc>
          <w:tcPr>
            <w:tcW w:w="3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69,890</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63,798</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2025</w:t>
            </w:r>
          </w:p>
        </w:tc>
        <w:tc>
          <w:tcPr>
            <w:tcW w:w="3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1,553,883</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575,415</w:t>
            </w: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549,943</w:t>
            </w:r>
          </w:p>
        </w:tc>
      </w:tr>
      <w:tr>
        <w:trPr>
          <w:trHeight w:val="248"/>
        </w:trPr>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37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2,844,630</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interest expense of $37.4 million and $37.8 million for the three months ended January 31, 2022 and 2021, respectively, of which $1.5 million and $1.2 million, respectively, was amortization of deferred financing costs. The Company recorded interest expense of $76.9 million and $73.3 million for the six months ended January 31, 2022 and 2021, respectively, of which $2.9 million and $1.9 million, respectively, was amortization of deferred financing costs. The Company was in compliance with all of its financial and operating covenants required to be maintained under its debt instruments for all periods presented.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Company’s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$2.9 million and $2.0 million, respectively, of non-cash foreign currency losses on the intercompany loan to Whistler Blackcomb for the three and six months ended January 31, 2022 on the Company’s Consolidated Condensed Statements of Operations. The Company recognized approximately $5.1 million and $5.7 million, respectively, of non-cash foreign currency gains on the intercompany loan to Whistler Blackcomb for the three and six months ended January 31, 2021 on the Company’s Consolidated Condensed Statements of Operations.</w:t>
      </w: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 Springs Mountain Resort, Hidden Valley Resort &amp; Laurel Mountain Ski Area</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31, 2021, the Company, through a wholly-owned subsidiary, acquired Seven Springs Mountain Resort, Hidden Valley Resort and Laurel Mountain Ski Area in Pennsylvania from Seven Springs Mountain Resort, Inc. and its affiliates for a cash purchase price of approximately $118.3 million, after adjustments for certain agreed-upon terms, which the Company funded with cash on hand. The acquisition included the mountain operations of the resorts, including base area skier services (food and beverage, retail and rental, lift ticket offices and ski and snowboard school facilities), as well as a hotel, conference center and other related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00" w:type="dxa"/>
            <w:vAlign w:val="bottom"/>
          </w:tcPr>
          <w:p>
            <w:pPr>
              <w:jc w:val="right"/>
              <w:ind w:right="215"/>
              <w:spacing w:after="0"/>
              <w:rPr>
                <w:sz w:val="20"/>
                <w:szCs w:val="20"/>
                <w:color w:val="auto"/>
              </w:rPr>
            </w:pPr>
            <w:r>
              <w:rPr>
                <w:rFonts w:ascii="Arial" w:cs="Arial" w:eastAsia="Arial" w:hAnsi="Arial"/>
                <w:sz w:val="14"/>
                <w:szCs w:val="14"/>
                <w:b w:val="1"/>
                <w:bCs w:val="1"/>
                <w:color w:val="auto"/>
              </w:rPr>
              <w:t>Acquisition Date</w:t>
            </w:r>
          </w:p>
        </w:tc>
      </w:tr>
      <w:tr>
        <w:trPr>
          <w:trHeight w:val="188"/>
        </w:trPr>
        <w:tc>
          <w:tcPr>
            <w:tcW w:w="64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Estimated Fair Value</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118,415</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Identifiable intangible assets and other assets</w:t>
            </w:r>
          </w:p>
        </w:tc>
        <w:tc>
          <w:tcPr>
            <w:tcW w:w="3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5,335</w:t>
            </w:r>
          </w:p>
        </w:tc>
      </w:tr>
      <w:tr>
        <w:trPr>
          <w:trHeight w:val="229"/>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(14,460)</w:t>
            </w:r>
          </w:p>
        </w:tc>
      </w:tr>
      <w:tr>
        <w:trPr>
          <w:trHeight w:val="223"/>
        </w:trPr>
        <w:tc>
          <w:tcPr>
            <w:tcW w:w="6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assets acquired</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118,263</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Identifiable intangible assets acquired in the transaction were primarily related to advanced lodging bookings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recognized $2.8 million of acquisition related expenses associated with the transaction within Mountain and Lodging operating expense in its Consolidated Condensed Statement of Operations for the six months ended January 31, 2022. The operating results of the acquired resorts are reported within the Mountain and Lodging segments prospectively from the date of acquisition.</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of assets acquired and liabilities assumed are preliminary and are based on the information that was available as of the acquisition date.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January 31, 2022</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July 31, 2021</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January 31, 2021</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767,433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756,517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759,056</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18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1,564,845</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1,496,402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1,499,525</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8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1,504,991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1,417,705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1,410,781</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318,434</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308,432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323,490</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126,742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122,778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120,016</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Vehicles</w:t>
            </w:r>
          </w:p>
        </w:tc>
        <w:tc>
          <w:tcPr>
            <w:tcW w:w="18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82,710</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80,328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81,767</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8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114,165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67,710</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58,753</w:t>
            </w:r>
          </w:p>
        </w:tc>
      </w:tr>
      <w:tr>
        <w:trPr>
          <w:trHeight w:val="223"/>
        </w:trPr>
        <w:tc>
          <w:tcPr>
            <w:tcW w:w="4480" w:type="dxa"/>
            <w:vAlign w:val="bottom"/>
          </w:tcPr>
          <w:p>
            <w:pPr>
              <w:ind w:left="220"/>
              <w:spacing w:after="0"/>
              <w:rPr>
                <w:sz w:val="20"/>
                <w:szCs w:val="20"/>
                <w:color w:val="auto"/>
              </w:rPr>
            </w:pPr>
            <w:r>
              <w:rPr>
                <w:rFonts w:ascii="Arial" w:cs="Arial" w:eastAsia="Arial" w:hAnsi="Arial"/>
                <w:sz w:val="18"/>
                <w:szCs w:val="18"/>
                <w:color w:val="auto"/>
              </w:rPr>
              <w:t>Gross property, plant and equipment</w:t>
            </w:r>
          </w:p>
        </w:tc>
        <w:tc>
          <w:tcPr>
            <w:tcW w:w="18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4,479,320</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4,249,872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4,253,388</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8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(2,288,988)</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(2,181,996)</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(2,094,525)</w:t>
            </w:r>
          </w:p>
        </w:tc>
      </w:tr>
      <w:tr>
        <w:trPr>
          <w:trHeight w:val="223"/>
        </w:trPr>
        <w:tc>
          <w:tcPr>
            <w:tcW w:w="4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plant and equipment, net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2,190,332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2,067,876</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2,158,863</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January 31, 2022</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July 31, 2021</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January 31, 2021</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137,895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98,261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86,251</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360" w:type="dxa"/>
            <w:vAlign w:val="bottom"/>
          </w:tcPr>
          <w:p>
            <w:pPr>
              <w:spacing w:after="0"/>
              <w:rPr>
                <w:sz w:val="19"/>
                <w:szCs w:val="19"/>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611,477</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456,457</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480,353</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deferred compensation</w:t>
            </w:r>
          </w:p>
        </w:tc>
        <w:tc>
          <w:tcPr>
            <w:tcW w:w="1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59,008</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54,286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59,665</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1360" w:type="dxa"/>
            <w:vAlign w:val="bottom"/>
          </w:tcPr>
          <w:p>
            <w:pPr>
              <w:spacing w:after="0"/>
              <w:rPr>
                <w:sz w:val="19"/>
                <w:szCs w:val="19"/>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46,894</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47,368</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44,549</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1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80,547</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35,263</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31,472</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360" w:type="dxa"/>
            <w:vAlign w:val="bottom"/>
          </w:tcPr>
          <w:p>
            <w:pPr>
              <w:spacing w:after="0"/>
              <w:rPr>
                <w:sz w:val="19"/>
                <w:szCs w:val="19"/>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35,438</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34,668</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36,878</w:t>
            </w:r>
          </w:p>
        </w:tc>
      </w:tr>
      <w:tr>
        <w:trPr>
          <w:trHeight w:val="230"/>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95,878</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89,169</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92,626</w:t>
            </w:r>
          </w:p>
        </w:tc>
      </w:tr>
      <w:tr>
        <w:trPr>
          <w:trHeight w:val="223"/>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accounts payable and accrued liabilities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1,067,137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815,472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831,794</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six months ended January 31, 2022 are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Mountain</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Lodging</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Goodwill, net</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2021</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1,738,836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42,211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1,781,047</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14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2,479</w:t>
            </w:r>
          </w:p>
        </w:tc>
        <w:tc>
          <w:tcPr>
            <w:tcW w:w="40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3,155</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5,634</w:t>
            </w:r>
          </w:p>
        </w:tc>
      </w:tr>
      <w:tr>
        <w:trPr>
          <w:trHeight w:val="229"/>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Effects of changes in foreign currency exchange rates</w:t>
            </w:r>
          </w:p>
        </w:tc>
        <w:tc>
          <w:tcPr>
            <w:tcW w:w="1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(22,575)</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(22,575)</w:t>
            </w:r>
          </w:p>
        </w:tc>
      </w:tr>
      <w:tr>
        <w:trPr>
          <w:trHeight w:val="223"/>
        </w:trPr>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Balance at January 31, 2022</w:t>
            </w: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1,718,740</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45,366</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1,764,106</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interest rate swaps and Contingent Consideration (defined below) measured at estimated fair value (all other assets and liabilities measured at fair value are immaterial)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Estimated Fair Value Measurement as of January 31, 2022</w:t>
            </w:r>
          </w:p>
        </w:tc>
        <w:tc>
          <w:tcPr>
            <w:tcW w:w="1040" w:type="dxa"/>
            <w:vAlign w:val="bottom"/>
            <w:tcBorders>
              <w:bottom w:val="single" w:sz="8" w:color="auto"/>
            </w:tcBorders>
          </w:tcPr>
          <w:p>
            <w:pPr>
              <w:spacing w:after="0"/>
              <w:rPr>
                <w:sz w:val="16"/>
                <w:szCs w:val="16"/>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504,306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504,306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9,564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9,564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1,155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1,155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40,900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40,900</w:t>
            </w:r>
          </w:p>
        </w:tc>
      </w:tr>
      <w:tr>
        <w:trPr>
          <w:trHeight w:val="378"/>
        </w:trPr>
        <w:tc>
          <w:tcPr>
            <w:tcW w:w="5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Estimated Fair Value Measurement as of July 31, 2021</w:t>
            </w:r>
          </w:p>
        </w:tc>
        <w:tc>
          <w:tcPr>
            <w:tcW w:w="1040" w:type="dxa"/>
            <w:vAlign w:val="bottom"/>
            <w:tcBorders>
              <w:bottom w:val="single" w:sz="8" w:color="auto"/>
            </w:tcBorders>
          </w:tcPr>
          <w:p>
            <w:pPr>
              <w:spacing w:after="0"/>
              <w:rPr>
                <w:sz w:val="24"/>
                <w:szCs w:val="24"/>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253,782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253,782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259,945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259,945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12,942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12,942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29,600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w:t>
            </w:r>
          </w:p>
        </w:tc>
      </w:tr>
      <w:tr>
        <w:trPr>
          <w:trHeight w:val="378"/>
        </w:trPr>
        <w:tc>
          <w:tcPr>
            <w:tcW w:w="5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Estimated Fair Value Measurement as of January 31, 2021</w:t>
            </w:r>
          </w:p>
        </w:tc>
        <w:tc>
          <w:tcPr>
            <w:tcW w:w="1040" w:type="dxa"/>
            <w:vAlign w:val="bottom"/>
            <w:tcBorders>
              <w:bottom w:val="single" w:sz="8" w:color="auto"/>
            </w:tcBorders>
          </w:tcPr>
          <w:p>
            <w:pPr>
              <w:spacing w:after="0"/>
              <w:rPr>
                <w:sz w:val="24"/>
                <w:szCs w:val="24"/>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204,070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204,070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8,734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8,734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16,548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16,548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17,000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cash equivalents, other current assets and interest rate swaps are measured utilizing quoted market prices or pricing models whereby all significant inputs are either observable or corroborated by observable market data. The estimated fair value of the interest rate swaps are included within other long-term liabilities on the Company’s Consolidated Condensed Balance Sheet as of January 31, 2022 and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six months ended January 31, 2022 and 2021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2021 and 2020, respectively</w:t>
            </w:r>
          </w:p>
        </w:tc>
        <w:tc>
          <w:tcPr>
            <w:tcW w:w="26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29,600</w:t>
            </w:r>
          </w:p>
        </w:tc>
        <w:tc>
          <w:tcPr>
            <w:tcW w:w="5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17,800</w:t>
            </w:r>
          </w:p>
        </w:tc>
      </w:tr>
      <w:tr>
        <w:trPr>
          <w:trHeight w:val="229"/>
        </w:trPr>
        <w:tc>
          <w:tcPr>
            <w:tcW w:w="614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660" w:type="dxa"/>
            <w:vAlign w:val="bottom"/>
          </w:tcPr>
          <w:p>
            <w:pPr>
              <w:spacing w:after="0"/>
              <w:rPr>
                <w:sz w:val="19"/>
                <w:szCs w:val="19"/>
                <w:color w:val="auto"/>
              </w:rPr>
            </w:pPr>
          </w:p>
        </w:tc>
        <w:tc>
          <w:tcPr>
            <w:tcW w:w="980" w:type="dxa"/>
            <w:vAlign w:val="bottom"/>
          </w:tcPr>
          <w:p>
            <w:pPr>
              <w:ind w:left="380"/>
              <w:spacing w:after="0"/>
              <w:rPr>
                <w:sz w:val="20"/>
                <w:szCs w:val="20"/>
                <w:color w:val="auto"/>
              </w:rPr>
            </w:pPr>
            <w:r>
              <w:rPr>
                <w:rFonts w:ascii="Arial" w:cs="Arial" w:eastAsia="Arial" w:hAnsi="Arial"/>
                <w:sz w:val="18"/>
                <w:szCs w:val="18"/>
                <w:color w:val="auto"/>
              </w:rPr>
              <w:t>(7,480)</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(2,602)</w:t>
            </w:r>
          </w:p>
        </w:tc>
      </w:tr>
      <w:tr>
        <w:trPr>
          <w:trHeight w:val="230"/>
        </w:trPr>
        <w:tc>
          <w:tcPr>
            <w:tcW w:w="6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w:t>
            </w:r>
          </w:p>
        </w:tc>
        <w:tc>
          <w:tcPr>
            <w:tcW w:w="2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18,780</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r>
      <w:tr>
        <w:trPr>
          <w:trHeight w:val="22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January 31, 2022 and 2021, respectively</w:t>
            </w:r>
          </w:p>
        </w:tc>
        <w:tc>
          <w:tcPr>
            <w:tcW w:w="2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40,900</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w:t>
            </w:r>
          </w:p>
        </w:tc>
      </w:tr>
      <w:tr>
        <w:trPr>
          <w:trHeight w:val="21"/>
        </w:trPr>
        <w:tc>
          <w:tcPr>
            <w:tcW w:w="61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spacing w:after="0" w:line="288" w:lineRule="auto"/>
        <w:rPr>
          <w:sz w:val="20"/>
          <w:szCs w:val="20"/>
          <w:color w:val="auto"/>
        </w:rPr>
      </w:pPr>
      <w:r>
        <w:rPr>
          <w:rFonts w:ascii="Arial" w:cs="Arial" w:eastAsia="Arial" w:hAnsi="Arial"/>
          <w:sz w:val="16"/>
          <w:szCs w:val="16"/>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11.0%,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$4.1 million to $7.4 million.</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Contingent Consideration is classified as a liability, which is remeasured to fair value at each reporting date until the contingency is resolved. During the six months ended January 31, 2022, the Company made a payment to the landlord for Contingent Consideration of approximately $7.5 million and recorded an increase of approximately $18.8 million which was primarily associated with the estimated Contingent Consideration payment for the fiscal year ending July 31, 2022. These changes resulted in an estimated fair value of the Contingent Consideration of approximately $40.9 million, which is reflected in other long-term liabilities in the Company’s Consolidated Condensed Balance Sheet.</w:t>
      </w:r>
    </w:p>
    <w:p>
      <w:pPr>
        <w:spacing w:after="0" w:line="1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$1.8 million, $2.0 million and $2.1 million primarily within other long-term liabilities in the accompanying Consolidated Condensed Balance Sheets, as of January 31, 2022, July 31, 2021 and January 31, 2021, respectively, with respect to the estimated present value of future RSRMD capital improvement fees. The Company estimates it will make capital improvement fee payments under this arrangement through the fiscal year ending July 31, 2031.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31, 2022, the Company had various letters of credit outstanding totaling $78.1 million, consisting of $53.4 million to support the Employee Housing Bonds and $24.7 million primarily for workers’ compensation, a wind energy purchase agreement and insurance-related deductibles. The Company also had surety bonds of $13.2 million as of January 31, 2022, primarily to provide collateral for its U.S. workers compensation self-insurance programs.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January 31, 2022, July 31, 2021 and January 31, 2021, the accruals for the above loss contingencies were not material individually or in the aggregate.</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August 1, 2021, the Company revised its segment reporting to move certain dining and golf operations from the Lodging segment to the Mountain segment. Segment reporting results for the prior year periods have been adjusted retrospectively to conform to the current period presentation.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loss, net change in cash and cash equivalents or other financial statement data presented in the Consolidated Condensed Financial Statements as indicators of financial performance or liquidity.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40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274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Six Months Ended January 31,</w:t>
            </w:r>
          </w:p>
        </w:tc>
      </w:tr>
      <w:tr>
        <w:trPr>
          <w:trHeight w:val="188"/>
        </w:trPr>
        <w:tc>
          <w:tcPr>
            <w:tcW w:w="478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91"/>
              <w:spacing w:after="0" w:line="189"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71"/>
              <w:spacing w:after="0" w:line="189"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Mountain</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834,375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641,978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943,675</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741,457</w:t>
            </w:r>
          </w:p>
        </w:tc>
      </w:tr>
      <w:tr>
        <w:trPr>
          <w:trHeight w:val="230"/>
        </w:trPr>
        <w:tc>
          <w:tcPr>
            <w:tcW w:w="4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Lodging</w:t>
            </w: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71,980</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42,351</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137,941</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74,404</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906,355</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684,329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1,081,616</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815,861</w:t>
            </w:r>
          </w:p>
        </w:tc>
      </w:tr>
      <w:tr>
        <w:trPr>
          <w:trHeight w:val="230"/>
        </w:trPr>
        <w:tc>
          <w:tcPr>
            <w:tcW w:w="4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495</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23"/>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906,535</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684,644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1,082,111</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816,430</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Mountain</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446,700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360,629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668,478</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549,254</w:t>
            </w:r>
          </w:p>
        </w:tc>
      </w:tr>
      <w:tr>
        <w:trPr>
          <w:trHeight w:val="229"/>
        </w:trPr>
        <w:tc>
          <w:tcPr>
            <w:tcW w:w="4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Lodging</w:t>
            </w: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62,612</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126,022</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90,502</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Total Resort operating expense</w:t>
            </w: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509,312</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409,458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794,500</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639,756</w:t>
            </w:r>
          </w:p>
        </w:tc>
      </w:tr>
      <w:tr>
        <w:trPr>
          <w:trHeight w:val="229"/>
        </w:trPr>
        <w:tc>
          <w:tcPr>
            <w:tcW w:w="4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1,511</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2,981</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r>
      <w:tr>
        <w:trPr>
          <w:trHeight w:val="196"/>
        </w:trPr>
        <w:tc>
          <w:tcPr>
            <w:tcW w:w="47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segment operating expense</w:t>
            </w:r>
          </w:p>
        </w:tc>
        <w:tc>
          <w:tcPr>
            <w:tcW w:w="940" w:type="dxa"/>
            <w:vAlign w:val="bottom"/>
            <w:tcBorders>
              <w:bottom w:val="single" w:sz="8" w:color="auto"/>
            </w:tcBorders>
          </w:tcPr>
          <w:p>
            <w:pPr>
              <w:jc w:val="right"/>
              <w:ind w:right="753"/>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86"/>
              </w:rPr>
              <w:t>510,823</w:t>
            </w:r>
          </w:p>
        </w:tc>
        <w:tc>
          <w:tcPr>
            <w:tcW w:w="4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411,073</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797,481</w:t>
            </w:r>
          </w:p>
        </w:tc>
        <w:tc>
          <w:tcPr>
            <w:tcW w:w="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642,821</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property</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962</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Mountain equity investment income, net</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818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2,332</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5,166</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EBITDA:</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780" w:type="dxa"/>
            <w:vAlign w:val="bottom"/>
          </w:tcPr>
          <w:p>
            <w:pPr>
              <w:ind w:left="220"/>
              <w:spacing w:after="0"/>
              <w:rPr>
                <w:sz w:val="20"/>
                <w:szCs w:val="20"/>
                <w:color w:val="auto"/>
              </w:rPr>
            </w:pPr>
            <w:r>
              <w:rPr>
                <w:rFonts w:ascii="Arial" w:cs="Arial" w:eastAsia="Arial" w:hAnsi="Arial"/>
                <w:sz w:val="18"/>
                <w:szCs w:val="18"/>
                <w:color w:val="auto"/>
              </w:rPr>
              <w:t>Mountain</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388,493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282,529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277,529</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197,369</w:t>
            </w:r>
          </w:p>
        </w:tc>
      </w:tr>
      <w:tr>
        <w:trPr>
          <w:trHeight w:val="230"/>
        </w:trPr>
        <w:tc>
          <w:tcPr>
            <w:tcW w:w="4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Lodging</w:t>
            </w: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9,368</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11,919</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(16,098)</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Resort</w:t>
            </w: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397,861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276,051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289,448</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181,271</w:t>
            </w:r>
          </w:p>
        </w:tc>
      </w:tr>
      <w:tr>
        <w:trPr>
          <w:trHeight w:val="230"/>
        </w:trPr>
        <w:tc>
          <w:tcPr>
            <w:tcW w:w="4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(1,524)</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r>
      <w:tr>
        <w:trPr>
          <w:trHeight w:val="196"/>
        </w:trPr>
        <w:tc>
          <w:tcPr>
            <w:tcW w:w="47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Reported EBITDA</w:t>
            </w:r>
          </w:p>
        </w:tc>
        <w:tc>
          <w:tcPr>
            <w:tcW w:w="940" w:type="dxa"/>
            <w:vAlign w:val="bottom"/>
            <w:tcBorders>
              <w:bottom w:val="single" w:sz="8" w:color="auto"/>
            </w:tcBorders>
          </w:tcPr>
          <w:p>
            <w:pPr>
              <w:jc w:val="right"/>
              <w:ind w:right="753"/>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86"/>
              </w:rPr>
              <w:t>397,461</w:t>
            </w:r>
          </w:p>
        </w:tc>
        <w:tc>
          <w:tcPr>
            <w:tcW w:w="4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274,751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287,924</w:t>
            </w:r>
          </w:p>
        </w:tc>
        <w:tc>
          <w:tcPr>
            <w:tcW w:w="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178,775</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held for sale or investment</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95,331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95,331</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96,801</w:t>
            </w:r>
          </w:p>
        </w:tc>
      </w:tr>
      <w:tr>
        <w:trPr>
          <w:trHeight w:val="175"/>
        </w:trPr>
        <w:tc>
          <w:tcPr>
            <w:tcW w:w="4780" w:type="dxa"/>
            <w:vAlign w:val="bottom"/>
          </w:tcPr>
          <w:p>
            <w:pPr>
              <w:ind w:left="20"/>
              <w:spacing w:after="0" w:line="176" w:lineRule="exact"/>
              <w:rPr>
                <w:sz w:val="20"/>
                <w:szCs w:val="20"/>
                <w:color w:val="auto"/>
              </w:rPr>
            </w:pPr>
            <w:r>
              <w:rPr>
                <w:rFonts w:ascii="Arial" w:cs="Arial" w:eastAsia="Arial" w:hAnsi="Arial"/>
                <w:sz w:val="18"/>
                <w:szCs w:val="18"/>
                <w:color w:val="auto"/>
              </w:rPr>
              <w:t>Reconciliation from net income (loss) attributable to Vail</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Resorts, Inc. to Total Reported EBITDA:</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Vail Resorts, Inc.</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223,391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84,059</w:t>
            </w:r>
          </w:p>
        </w:tc>
        <w:tc>
          <w:tcPr>
            <w:tcW w:w="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r>
      <w:tr>
        <w:trPr>
          <w:trHeight w:val="230"/>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10,539</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7,350</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r>
      <w:tr>
        <w:trPr>
          <w:trHeight w:val="223"/>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233,930</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91,409</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r>
      <w:tr>
        <w:trPr>
          <w:trHeight w:val="230"/>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(benefit) from income taxes</w:t>
            </w: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52,049</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(7,804)</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w:t>
            </w:r>
          </w:p>
        </w:tc>
      </w:tr>
      <w:tr>
        <w:trPr>
          <w:trHeight w:val="223"/>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Income (loss) before provision (benefit) from income taxes</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285,979</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83,605</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(18,148)</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62,070</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62,663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123,559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125,291</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estimated fair value of contingent consideration</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16,780</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18,780</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(Gain) loss on disposal of fixed assets and other, net</w:t>
            </w: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(7,347)</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(16,214)</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2,761</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(756)</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Foreign currency loss (gain) on intercompany loans</w:t>
            </w:r>
          </w:p>
        </w:tc>
        <w:tc>
          <w:tcPr>
            <w:tcW w:w="9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2,870</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2,039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(5,675)</w:t>
            </w:r>
          </w:p>
        </w:tc>
      </w:tr>
      <w:tr>
        <w:trPr>
          <w:trHeight w:val="230"/>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37,366</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76,911</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73,254</w:t>
            </w:r>
          </w:p>
        </w:tc>
      </w:tr>
      <w:tr>
        <w:trPr>
          <w:trHeight w:val="223"/>
        </w:trPr>
        <w:tc>
          <w:tcPr>
            <w:tcW w:w="4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397,461</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274,751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287,924</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178,775</w:t>
            </w: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5540" w:right="860" w:hanging="5532"/>
        <w:spacing w:after="0" w:line="989" w:lineRule="auto"/>
        <w:tabs>
          <w:tab w:leader="none" w:pos="179"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Segment results for the three and six months ended January 31, 2021 have been retrospectively adjusted to reflect current period presentation.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did not repurchase any Vail Shares during the three and six months ended January 31, 2022 and 2021. Since inception of its share repurchase program through January 31, 2022, the Company has repurchased 6,161,141 Vail Shares for approximately $404.4 million. As of January 31, 2022, 1,338,859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January 31, 2022 (“Form 10-Q”) as “we,” “us,” “our” or the “Company.”</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our Annual Report on Form 10-K for the fiscal year ended July 31, 2021 (“Form 10-K”) and the Consolidated Condensed Financial Statements as of January 31, 2022 and 2021 and for the three and six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23, 2021, and Item 1A “Risk Factors” of Part II of this Form 10-Q.</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loss attributable to Vail Resorts, Inc. to Total Reported EBITDA and long-term debt, net to Net Debt.</w:t>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40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863590" cy="3291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ski operations occurring in our second and third fiscal quarters and the majority of revenue earned from our Australian ski operations occurring in our first and fourth fiscal quarters. Our North American destination mountain resorts and regional ski areas (collectively, “Resorts”) are typically open for business from mid-November through mid-April, which is the peak operating season for the Mountain segment, and our Australian ski areas are typically open for business from June to early October. Consequently, our first fiscal quarter is a seasonally low period as our North American ski operations are generally not open for business until our second fiscal quarter, while the activity of our Australian ski areas’ peak season and our North American summer operating results are not sufficient to offset the losses incurred during the seasonally low periods at our North American Resorts. Revenue of the Mountain segment during the first and fourth fiscal quarters is primarily generated from summer and group related visitation at our North American destination mountain resorts, retail/rental operations and peak season Australian ski operations. Our largest source of Mountain segment revenue is the sale of lift tickets (including pass products), which represented approximately 63% and 67% of Mountain segment net revenue for the three months ended January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jc w:val="both"/>
        <w:spacing w:after="0" w:line="269" w:lineRule="auto"/>
        <w:rPr>
          <w:sz w:val="20"/>
          <w:szCs w:val="20"/>
          <w:color w:val="auto"/>
        </w:rPr>
      </w:pPr>
      <w:r>
        <w:rPr>
          <w:rFonts w:ascii="Arial" w:cs="Arial" w:eastAsia="Arial" w:hAnsi="Arial"/>
          <w:sz w:val="17"/>
          <w:szCs w:val="17"/>
          <w:color w:val="auto"/>
        </w:rPr>
        <w:t>Lift revenue is driven by volume and pricing. Pricing is impacted by both absolute pricing, as well as the mix of resort visitation of guests, which impacts the price points at which various products are purchased. The demographic mix of guests that visit our North American destination mountain resorts is divided into two primary categories: (i) out-of-state and international (“Destination”) guests and (ii) in-state and local (“Local”) guests. For the three months ended January 31, 2022, Destination guests comprised approximately 55% of our North American destination mountain resort skier visits (excluding complimentary access), while Local guests comprised approximately 45% of our North American destination mountain resort skier visits (excluding complimentary access), which compares to 48% and 52%, respectively, for the three months ended January 31, 2021 and 55% and 45%, respectively, for the three months ended January 31, 2020. Destination guests generally purchase our higher-priced lift tickets (including pass products) and utilize more ancillary services such as ski school, dining and retail/rental, as well as lodging at or around our mountain resorts. The impacts of COVID-19, including travel restrictions, continue to have an adverse impact on Destination visitation, particularly for international guests, as demand for long-distance travel continues to be lower than normal. Additionally, Destination guest visitation is less likely to be impacted by changes in the weather during the current season, but may be more impacted by adverse economic conditions, the global geopolitical climate or weather conditions in the immediately preceding ski season. Local guests tend to be more value-oriented and weather sensitive.</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valid at each of our resorts, purchased in advance of the season, for those skiers and riders who expect to ski a certain number of days during the season, and which is available in two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pass alliance agreements with third-party mountain resorts, which further increase the value proposition of our pass products. For the 2022/2023 ski season, our pass alliances include Telluride Ski Resort in Colorado, Hakuba Valley and Rusutsu Resort in Japan, Resorts of the Canadian Rockies in Canada, Les 3 Vallées in France, 4 Vallées in Switzerland, Skirama Dolomiti in Italy and Ski Arlberg in Austria. As such,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on a straight-line basis using the skiable days of the season to date relative to the total estimated skiable days of the season.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Lift revenue consists of pass product lift revenue (“pass revenue”) and non-pass lift product revenue (“non-pass revenue”). For the three months ended January 31, 2022 and 2021, approximately 68% and 70%, respectively, of our total lift revenue recognized was comprised of pass revenue. Pass revenue recognized year to date (excluding the Seven Springs Resorts), which is primarily recognized in our second fiscal quarter, represents approximately 46% and 50%, of our total North American pass product sales for the 2021/2022 and 2020/2021 North American ski season, respectively, with the remaining North American pass revenue almost entirely recognized as lift revenue in our third fiscal quarter ending April 30. The decrease in the portion of pass revenue recognized year to date compared to the prior year is the result of challenging early season conditions during the early portion of the 2021/2022 North American ski season, which resulted in delayed openings for a number of our Resorts. As a result, we expect to recognize approximately $33 million of pass revenue during the three months ending April 30, 2022 that would have been recognized during the three months ended January 31, 2022 had we been able to open as originally planned.</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be impacted negatively by COVID-19, and we believe that the increase in COVID-19 cases associated with the Omicron variant negatively impacted our North American ski season results during the six months ended January 31, 2022. However, our results to date have significantly outperformed results from the prior year, due to the greater impact of COVID-19 and related limitations and restrictions on results for the prior year. In addition, the ongoing impacts of COVID-19 resulted in restrictions, limitations or closures of our Australian ski area operations during the three months ended October 31, 2021 and 2020. These actions, trends and the COVID-19 pandemic in general had a significant adverse impact on our results of operations for the three and six months ended January 31, 2022 and 2021, and could continue to have an adverse impact for the remainder of the year ending July 31, 2022 (“Fiscal 2022”) and beyond.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concessionaire properties, including the Grand Teton Lodge Company (“GTLC”); (iv) a Colorado resort ground transportation company; and (v) mountain resort golf courses.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performance of our lodging properties (including managed condominium rooms) proximate to our mountain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94% and 91% of Lodging segment net revenue (excluding Lodging segment revenue associated with the reimbursement of payroll costs) for the three months ended January 31, 2022 and 2021,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concessionaire properties (as their peak operating season generally occurs during the months of June to October); mountain resort golf operations and seasonally lower volume from our other owned and managed properties and businesses.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ongoing impacts of the COVID-19 pandemic have resulted in reduced occupancy at our lodging properties during the 2021/2022 and 2020/2021 North American ski seasons, although we have seen significantly improved results compared to the prior year. In addition, the ongoing impacts of COVID-19 resulted in restrictions, limitations, or closures of our North American summer operations for both the three months ended October 31, 2021 and 2020. In the prior year, GTLC was particularly impacted by the closures of Jackson Lake Lodge and Jenny Lake Lodge, as well as restrictions on guided activities, in-restaurant dining and the temporary closure of many facilities, among others. These actions, trends and the COVID-19 pandemic in general, had an adverse impact on our results of operations for the three and six months ended January 31, 2022 and 2021, and could continue to have an adverse impact for the remainder of Fiscal 2022 and beyond.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Together with those risk factors we have identified in our Form 10-K and in this Form 10-Q, we have identified the following important factors (as well as risks and uncertainties associated with such factors) that could impact our future financial performance or condition: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ind w:left="328" w:hanging="328"/>
        <w:spacing w:after="0" w:line="287" w:lineRule="auto"/>
        <w:tabs>
          <w:tab w:leader="none" w:pos="3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COVID-19 has led to travel restrictions and other adverse economic impacts in global and local economies. Our operations continue to be negatively impacted by COVID-19 and associated government-mandated restrictions, including vaccination requirements, travel restrictions, and mask and social distancing requirements. Additionally, we may impose our own COVID-19 related restrictions in addition to what is required by state and local governments in the interest of the safety of our guests, employees and resort communities. The ongoing impacts of COVID-19 and associated regional shutdowns resulted in periodic closures of our Australian ski areas during their 2021 ski seasons. Although we are uncertain as to the ultimate severity and duration of the COVID-19 pandemic as well as the related global or other travel restrictions and other adverse impacts, we have experienced a negative change in performance and our future performance could also be negatively impacted. In addition, the North American economy may be impacted by economic challenges in North America or declining or slowing growth in economies outside of North America, accompanied by devaluation of currencies, rising inflation, trade tariffs and lower commodity prices. We cannot predict the ultimate impact that the global economic uncertainty as a result of COVID-19 will have on overall travel and leisure spending or more specifically, on our guest visitation, guest spending or other related trends for the remainder of the 2021/2022 North American ski season.</w:t>
      </w:r>
    </w:p>
    <w:p>
      <w:pPr>
        <w:spacing w:after="0" w:line="198" w:lineRule="exact"/>
        <w:rPr>
          <w:rFonts w:ascii="Arial" w:cs="Arial" w:eastAsia="Arial" w:hAnsi="Arial"/>
          <w:sz w:val="16"/>
          <w:szCs w:val="16"/>
          <w:color w:val="auto"/>
        </w:rPr>
      </w:pPr>
    </w:p>
    <w:p>
      <w:pPr>
        <w:jc w:val="both"/>
        <w:ind w:left="328" w:hanging="328"/>
        <w:spacing w:after="0" w:line="288" w:lineRule="auto"/>
        <w:tabs>
          <w:tab w:leader="none" w:pos="3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During Fiscal 2021, pass product revenue represented approximately 61% of total lift revenue. Pass revenue increased approximately $52.1 million, or 17.2%, for the three months ended January 31, 2022 compared to the same period in the prior year, primarily due to increased pass product sales results leading into the season. The increase was partially offset by delayed Resort openings, as discussed above, which we expect will shift the recognition of approximately $33 million of pass product revenue into the third quarter of Fiscal 2022 that would have otherwise been recognized in the second quarter of Fiscal 2022. Additionally, deferred revenue related to North American pass product sales (excluding assumed deferred revenue associated with the Seven Springs Resorts, as defined below) was approximately $425.5 million as of January 31, 2022 (compared to approximately $310.0 million as of January 31, 2021).</w:t>
      </w:r>
    </w:p>
    <w:p>
      <w:pPr>
        <w:spacing w:after="0" w:line="195" w:lineRule="exact"/>
        <w:rPr>
          <w:rFonts w:ascii="Arial" w:cs="Arial" w:eastAsia="Arial" w:hAnsi="Arial"/>
          <w:sz w:val="16"/>
          <w:szCs w:val="16"/>
          <w:color w:val="auto"/>
        </w:rPr>
      </w:pPr>
    </w:p>
    <w:p>
      <w:pPr>
        <w:jc w:val="both"/>
        <w:ind w:left="328" w:hanging="328"/>
        <w:spacing w:after="0" w:line="287" w:lineRule="auto"/>
        <w:tabs>
          <w:tab w:leader="none" w:pos="3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2021/2022 North American ski season got off to a slow start with challenging early season conditions, resulting in delayed openings and limited open terrain that persisted through the holiday period. The storms during the holiday period created disruptions on certain key peak days that negatively impacted our results, particularly at our Tahoe resorts, which were fully closed on certain days as a result of the storms. Following the holiday period, the experience across our Resorts improved markedly, with better snowfall, a stabilization and ultimately reduction of cases of COVID-19 and overall better staffing, allowing us to open terrain across our resorts that was close to normal levels for that time period. Whistler Blackcomb was, as anticipated, disproportionately impacted by COVID-19 related travel restrictions, creating challenging results for U.S. destination and international visitation to the resort. In addition to the impacts associated with the challenging conditions, we believe that the significant increase in COVID-19 cases associated with the Omicron variant negatively impacted our results, consistent with the broader travel and leisure sector at that time. Relative to the second quarter of fiscal 2020, our ancillary lines of business experienced revenue declines, particularly in food and beverage, which was disproportionately impacted by numerous operational restrictions associated with COVID-19 and overall staffing challenges. We cannot predict the impact that COVID-19 limitations and restrictions, future weather conditions or continued staffing challenges will have on our skier visitation and results of operations for the remainder of the 2021/2022 North American ski season.</w:t>
      </w:r>
    </w:p>
    <w:p>
      <w:pPr>
        <w:spacing w:after="0" w:line="194" w:lineRule="exact"/>
        <w:rPr>
          <w:rFonts w:ascii="Arial" w:cs="Arial" w:eastAsia="Arial" w:hAnsi="Arial"/>
          <w:sz w:val="16"/>
          <w:szCs w:val="16"/>
          <w:color w:val="auto"/>
        </w:rPr>
      </w:pPr>
    </w:p>
    <w:p>
      <w:pPr>
        <w:jc w:val="both"/>
        <w:ind w:left="328" w:hanging="328"/>
        <w:spacing w:after="0" w:line="293" w:lineRule="auto"/>
        <w:tabs>
          <w:tab w:leader="none" w:pos="3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Prior to the 2020/2021 North American ski season, we introduced Epic Coverage, which is included with the purchase of all pass products for no additional charge. Epic Coverage provides refunds in the event of certain Resort closures and certain qualifying travel restrictions (e.g., for COVID-19), giving pass product holders a refund for any portion of the season that is lost due to qualifying circumstances. Additionally, Epic Coverage provides a refund for qualifying personal circumstances, including eligible injuries, job losses and many other personal events. The estimated amount of refunds reduces the amount of pass product revenue recognized. We believe our estimate of refund amounts are reasonable; however, actual results could vary materially from such estimates, and we could be required to refund significantly higher amounts than estimated.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5" w:right="339" w:bottom="1440" w:gutter="0" w:footer="0" w:header="0"/>
        </w:sectPr>
      </w:pPr>
    </w:p>
    <w:bookmarkStart w:id="27" w:name="page28"/>
    <w:bookmarkEnd w:id="27"/>
    <w:p>
      <w:pPr>
        <w:jc w:val="both"/>
        <w:ind w:left="660" w:hanging="328"/>
        <w:spacing w:after="0" w:line="25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January 31, 2022, we had $1.4 billion of cash and cash equivalents, as well as $416.6 million available under the revolver component of our Eighth Amended and Restated Credit Agreement, dated as of August 15, 2018 and as amended most recently on December 18, 2020 (the “Vail Holdings Credit Agreement”), which represents the total commitment of $500.0 million less certain letters of credit outstanding of $83.3 million. Additionally, we have a credit facility which supports the liquidity needs of Whistler Blackcomb (the “Whistler Credit Agreement”). As of January 31, 2022, we had C$272.1 million ($214.1 million) available under the revolver component of the Whistler Credit Agreement (which represents the total commitment of C$300.0 million ($236.0 million) less outstanding borrowings of C$27.0 million ($21.2 million) and a letter of credit outstanding of C$0.8 million ($0.7 million).</w:t>
      </w:r>
    </w:p>
    <w:p>
      <w:pPr>
        <w:spacing w:after="0" w:line="221"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We exited the Financial Covenants Temporary Waiver Period under the Vail Holdings Credit Agreement effective October 31, 2021. As a result, we are required to comply with the financial maintenance covenants in the Vail Holdings Credit Agreement and we are no longer subject to the covenant modifications that were applicable during the temporary waiver period.</w:t>
      </w:r>
    </w:p>
    <w:p>
      <w:pPr>
        <w:spacing w:after="0" w:line="210"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We believe that our existing cash and cash equivalents, availability under our credit agreements and the expected positive cash flow from operating activities of our Mountain and Lodging segments will continue to provide us with sufficient liquidity to fund our operations.</w:t>
      </w:r>
    </w:p>
    <w:p>
      <w:pPr>
        <w:spacing w:after="0" w:line="173" w:lineRule="exact"/>
        <w:rPr>
          <w:rFonts w:ascii="Arial" w:cs="Arial" w:eastAsia="Arial" w:hAnsi="Arial"/>
          <w:sz w:val="18"/>
          <w:szCs w:val="18"/>
          <w:color w:val="auto"/>
        </w:rPr>
      </w:pPr>
    </w:p>
    <w:p>
      <w:pPr>
        <w:jc w:val="both"/>
        <w:ind w:left="660" w:hanging="328"/>
        <w:spacing w:after="0" w:line="272"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December 31, 2021, through a wholly-owned subsidiary, we acquired Seven Springs Mountain Resort, Hidden Valley Resort and Laurel Mountain Ski Area in Pennsylvania (collectively, the “Seven Springs Resorts”) from Seven Springs Mountain Resort, Inc. and its affiliates for a purchase price of approximately $118.3 million, after adjustments for certain agreed-upon terms, which we funded with cash on hand. The acquisition included the mountain operations of the Seven Springs Resorts, including base area skier services (food and beverage, retail and rental, lift ticket offices and ski and snowboard school facilities), as well as hotel, conference center and other related operations. We expect that the acquisition of the Seven Springs Resorts will positively contribute to our annual results of operations, however we cannot predict the ultimate impact the new resorts will have on our future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operating results for the three and six months ended January 31, 2022, compared to the three and six months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480" w:type="dxa"/>
            <w:vAlign w:val="bottom"/>
            <w:gridSpan w:val="5"/>
          </w:tcPr>
          <w:p>
            <w:pPr>
              <w:ind w:left="660"/>
              <w:spacing w:after="0"/>
              <w:rPr>
                <w:sz w:val="20"/>
                <w:szCs w:val="20"/>
                <w:color w:val="auto"/>
              </w:rPr>
            </w:pPr>
            <w:r>
              <w:rPr>
                <w:rFonts w:ascii="Arial" w:cs="Arial" w:eastAsia="Arial" w:hAnsi="Arial"/>
                <w:sz w:val="14"/>
                <w:szCs w:val="14"/>
                <w:b w:val="1"/>
                <w:bCs w:val="1"/>
                <w:color w:val="auto"/>
              </w:rPr>
              <w:t>Three Months Ended January 31,</w:t>
            </w:r>
          </w:p>
        </w:tc>
        <w:tc>
          <w:tcPr>
            <w:tcW w:w="380" w:type="dxa"/>
            <w:vAlign w:val="bottom"/>
          </w:tcPr>
          <w:p>
            <w:pPr>
              <w:spacing w:after="0"/>
              <w:rPr>
                <w:sz w:val="16"/>
                <w:szCs w:val="16"/>
                <w:color w:val="auto"/>
              </w:rPr>
            </w:pPr>
          </w:p>
        </w:tc>
        <w:tc>
          <w:tcPr>
            <w:tcW w:w="2980" w:type="dxa"/>
            <w:vAlign w:val="bottom"/>
            <w:gridSpan w:val="3"/>
          </w:tcPr>
          <w:p>
            <w:pPr>
              <w:jc w:val="right"/>
              <w:ind w:right="653"/>
              <w:spacing w:after="0"/>
              <w:rPr>
                <w:sz w:val="20"/>
                <w:szCs w:val="20"/>
                <w:color w:val="auto"/>
              </w:rPr>
            </w:pPr>
            <w:r>
              <w:rPr>
                <w:rFonts w:ascii="Arial" w:cs="Arial" w:eastAsia="Arial" w:hAnsi="Arial"/>
                <w:sz w:val="14"/>
                <w:szCs w:val="14"/>
                <w:b w:val="1"/>
                <w:bCs w:val="1"/>
                <w:color w:val="auto"/>
              </w:rPr>
              <w:t>Six Months Ended January 31,</w:t>
            </w:r>
          </w:p>
        </w:tc>
        <w:tc>
          <w:tcPr>
            <w:tcW w:w="0" w:type="dxa"/>
            <w:vAlign w:val="bottom"/>
          </w:tcPr>
          <w:p>
            <w:pPr>
              <w:spacing w:after="0"/>
              <w:rPr>
                <w:sz w:val="1"/>
                <w:szCs w:val="1"/>
                <w:color w:val="auto"/>
              </w:rPr>
            </w:pPr>
          </w:p>
        </w:tc>
      </w:tr>
      <w:tr>
        <w:trPr>
          <w:trHeight w:val="188"/>
        </w:trPr>
        <w:tc>
          <w:tcPr>
            <w:tcW w:w="4400" w:type="dxa"/>
            <w:vAlign w:val="bottom"/>
            <w:tcBorders>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13"/>
              <w:spacing w:after="0" w:line="189"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13"/>
              <w:spacing w:after="0" w:line="189"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Vail Resorts, Inc.</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223,391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84,059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w w:val="98"/>
              </w:rPr>
              <w:t>Income (loss) before (provision for) benefit from income</w:t>
            </w:r>
          </w:p>
        </w:tc>
        <w:tc>
          <w:tcPr>
            <w:tcW w:w="980" w:type="dxa"/>
            <w:vAlign w:val="bottom"/>
            <w:vMerge w:val="restart"/>
          </w:tcPr>
          <w:p>
            <w:pPr>
              <w:jc w:val="right"/>
              <w:ind w:right="775"/>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color w:val="auto"/>
                <w:w w:val="89"/>
              </w:rPr>
              <w:t>285,979</w:t>
            </w:r>
          </w:p>
        </w:tc>
        <w:tc>
          <w:tcPr>
            <w:tcW w:w="4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176,351</w:t>
            </w:r>
          </w:p>
        </w:tc>
        <w:tc>
          <w:tcPr>
            <w:tcW w:w="100" w:type="dxa"/>
            <w:vAlign w:val="bottom"/>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ind w:right="35"/>
              <w:spacing w:after="0"/>
              <w:rPr>
                <w:sz w:val="20"/>
                <w:szCs w:val="20"/>
                <w:color w:val="auto"/>
              </w:rPr>
            </w:pPr>
            <w:r>
              <w:rPr>
                <w:rFonts w:ascii="Arial" w:cs="Arial" w:eastAsia="Arial" w:hAnsi="Arial"/>
                <w:sz w:val="18"/>
                <w:szCs w:val="18"/>
                <w:color w:val="auto"/>
              </w:rPr>
              <w:t>83,605</w:t>
            </w:r>
          </w:p>
        </w:tc>
        <w:tc>
          <w:tcPr>
            <w:tcW w:w="4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(18,148)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taxes</w:t>
            </w:r>
          </w:p>
        </w:tc>
        <w:tc>
          <w:tcPr>
            <w:tcW w:w="9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388,493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277,529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197,369</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9,368</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11,919</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(16,098)</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Reported EBITDA</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397,861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289,448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181,271</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 Reported EBITDA</w:t>
            </w:r>
          </w:p>
        </w:tc>
        <w:tc>
          <w:tcPr>
            <w:tcW w:w="9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9"/>
        <w:spacing w:after="0" w:line="227" w:lineRule="auto"/>
        <w:tabs>
          <w:tab w:leader="none" w:pos="439"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Segment results for the three and six months ended January 31, 2021 have been retrospectively adjusted to reflect current period presentation. See Notes to the Consolidated Condensed Financial Statements for additional information.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consolidated condensed results of operations, including any consolidated financial metrics pertaining thereto, include the operations of the Seven Springs Resorts (acquired December 31, 2021) prospectively from the date of acquisition.</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COVID-19 in general had an adverse impact on our results of operations for both the three and six months ended January 31, 2022 and 2021, as further described below in our segment results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2022 compared to the three months ended January 31, 2021</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Mountain segment operating results for the three months ended January 31, 2022 and 2021 are presented by category as follows (in thousands, except effective ticket price (“ETP”)). ETP is calculated as lift revenue divided by total skier visits for each applicable period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3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January 31,</w:t>
            </w: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3"/>
              <w:spacing w:after="0" w:line="135"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1"/>
        </w:trPr>
        <w:tc>
          <w:tcPr>
            <w:tcW w:w="6020" w:type="dxa"/>
            <w:vAlign w:val="bottom"/>
          </w:tcPr>
          <w:p>
            <w:pPr>
              <w:spacing w:after="0"/>
              <w:rPr>
                <w:sz w:val="5"/>
                <w:szCs w:val="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6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0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Lift</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521,582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430,775</w:t>
            </w:r>
          </w:p>
        </w:tc>
        <w:tc>
          <w:tcPr>
            <w:tcW w:w="1880" w:type="dxa"/>
            <w:vAlign w:val="bottom"/>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92,072</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Dining</w:t>
            </w:r>
          </w:p>
        </w:tc>
        <w:tc>
          <w:tcPr>
            <w:tcW w:w="9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54,049</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32,227</w:t>
            </w:r>
          </w:p>
        </w:tc>
        <w:tc>
          <w:tcPr>
            <w:tcW w:w="1880" w:type="dxa"/>
            <w:vAlign w:val="bottom"/>
          </w:tcPr>
          <w:p>
            <w:pPr>
              <w:jc w:val="right"/>
              <w:spacing w:after="0"/>
              <w:rPr>
                <w:sz w:val="20"/>
                <w:szCs w:val="20"/>
                <w:color w:val="auto"/>
              </w:rPr>
            </w:pPr>
            <w:r>
              <w:rPr>
                <w:rFonts w:ascii="Arial" w:cs="Arial" w:eastAsia="Arial" w:hAnsi="Arial"/>
                <w:sz w:val="18"/>
                <w:szCs w:val="18"/>
                <w:color w:val="auto"/>
              </w:rPr>
              <w:t>67.7 %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126,831</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90,126</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39,841</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834,375</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641,978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Mountain operating expense:</w:t>
            </w: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178,692</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145,619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Retail cost of sales</w:t>
            </w:r>
          </w:p>
        </w:tc>
        <w:tc>
          <w:tcPr>
            <w:tcW w:w="9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36,288</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28,123</w:t>
            </w:r>
          </w:p>
        </w:tc>
        <w:tc>
          <w:tcPr>
            <w:tcW w:w="1880" w:type="dxa"/>
            <w:vAlign w:val="bottom"/>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related fees</w:t>
            </w: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36,885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77,525</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65,766</w:t>
            </w:r>
          </w:p>
        </w:tc>
        <w:tc>
          <w:tcPr>
            <w:tcW w:w="1880" w:type="dxa"/>
            <w:vAlign w:val="bottom"/>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117,310</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Mountain operating expense</w:t>
            </w:r>
          </w:p>
        </w:tc>
        <w:tc>
          <w:tcPr>
            <w:tcW w:w="9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446,700</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360,629</w:t>
            </w:r>
          </w:p>
        </w:tc>
        <w:tc>
          <w:tcPr>
            <w:tcW w:w="1880" w:type="dxa"/>
            <w:vAlign w:val="bottom"/>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net</w:t>
            </w:r>
          </w:p>
        </w:tc>
        <w:tc>
          <w:tcPr>
            <w:tcW w:w="9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Reported EBITDA</w:t>
            </w: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388,493</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282,529</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9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7,360</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6,716</w:t>
            </w:r>
          </w:p>
        </w:tc>
        <w:tc>
          <w:tcPr>
            <w:tcW w:w="1880" w:type="dxa"/>
            <w:vAlign w:val="bottom"/>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Segment results for the three months ended January 31, 2021 have been retrospectively adjusted to reflect current period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$5.4 million and $5.5 million of stock-based compensation expense for the three months ended January 31, 2022 and 2021, respectively.</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Mountain Reported EBITDA increased $106.0 million, or 37.5%, primarily due to strong North American pass sales growth for the 2021/2022 North American ski season and fewer COVID-19 related limitations and restrictions on our North American operations as compared to the prior year. Visitation across our North American Resorts increased relative to prior year levels, particularly among non-pass lift ticket purchasers, but was partially offset by the negative impact of delayed Resort openings due to challenging early season conditions. These increases were partially offset by an increase in variable expenses associated with the increase in revenue and visitation, and an increase in general and administrative expenses primarily due to cost discipline efforts in the prior year associated with lower levels of operations. Mountain segment results also include $2.6 million and $0.5 million of acquisition and integration related expenses for the three months ended January 31, 2022 and 2021, respectively, which are recorded within Mountain other operating expense.</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Lift revenue increased $90.8 million, or 21.1%, primarily due to an increase in pass revenue and an increase in non-pass lift ticket purchases. Non-pass revenue increased 30.1% primarily due to an increase in visitation, which was significantly impacted by COVID-19 related capacity limitations in the prior year, as well as an increase in non-pass ETP of 13.2%. Pass revenue increased 17.2%, which was primarily driven by increased pass product sales for the 2021/2022 North American ski season compared to the 2020/2021 North American ski season, which were favorably impacted by increased pass product sales to new pass holders and Destination guests. The increase in lift revenue for both pass revenue and non-pass revenue was partially offset by delayed Resort openings as a result of challenging early season conditions, which negatively impacted visitation.</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Ski school revenue increased $35.7 million, or 63.3%, dining revenue increased $21.8 million, or 67.7% and retail/rental revenue increased $36.7 million, or 40.7%, each primarily due to fewer COVID-19 related limitations and restrictions on our North American winter operations as compared to the prior year, as well as an increase in demand over the prior year.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Other revenue mainly consists of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increased $7.4 million, or 22.7%, primarily due to increased guest services revenue, employee housing revenue, private club revenue and marketing revenue, each as a result of increased visitation and fewer COVID-19 related limitations and restrictions on our North American winter operations as compared to the prior year.</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 increased $86.1 million, or 23.9%, which was primarily attributable to increased variable expenses associated with increases in revenue, and the impact of cost discipline efforts in the prior year associated with lower levels of operations, including limitations, restrictions and closures resulting from COVID-19. Additionally, operating expense includes $2.6 million and $0.5 million of acquisition and integration related expenses for the three months ended January 31, 2022 and 2021, respectively.</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Labor and labor-related benefits increased 22.7%, primarily due to increased staffing associated with an increase in visitation and the impact of COVID-19 related cost actions in the prior year, as well as a decrease of $7.6 million in tax credits from COVID-19 related legislation in Canada. Retail cost of sales increased 29.0%, compared to an increase in retail sales of 40.1%, reflecting increased margins on a higher mix of newer, higher-margin retail products. Resort related fees increased 39.8%, primarily due to increases in revenue on which those fees are based. General and administrative expense increased 17.9%, primarily due to an increase in allocated corporate overhead costs across nearly all corporate functions, which were impacted in the prior year by COVID-19 related cost management. Other expense increased 23.8%, primarily due to increases in variable operating expenses associated with increased revenues and visitation, as well as an increase in acquisition and integration related expenses of $2.1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2022 compared to the six months ended January 31, 2021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six months ended January 31, 2022 and 2021 are presented by category as follows (in thousands, except ETP):</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4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Six Months Ended January 31,</w:t>
            </w:r>
          </w:p>
        </w:tc>
        <w:tc>
          <w:tcPr>
            <w:tcW w:w="1860" w:type="dxa"/>
            <w:vAlign w:val="bottom"/>
          </w:tcPr>
          <w:p>
            <w:pPr>
              <w:jc w:val="center"/>
              <w:ind w:left="1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60" w:type="dxa"/>
            <w:vAlign w:val="bottom"/>
            <w:vMerge w:val="restart"/>
          </w:tcPr>
          <w:p>
            <w:pPr>
              <w:jc w:val="center"/>
              <w:ind w:left="13"/>
              <w:spacing w:after="0" w:line="135"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1"/>
        </w:trPr>
        <w:tc>
          <w:tcPr>
            <w:tcW w:w="5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5"/>
                <w:szCs w:val="5"/>
                <w:color w:val="auto"/>
              </w:rPr>
            </w:pPr>
          </w:p>
        </w:tc>
        <w:tc>
          <w:tcPr>
            <w:tcW w:w="126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Lift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535,911</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463,866</w:t>
            </w:r>
          </w:p>
        </w:tc>
        <w:tc>
          <w:tcPr>
            <w:tcW w:w="1860" w:type="dxa"/>
            <w:vAlign w:val="bottom"/>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93,545</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58,434</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60.1 %</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66,569</w:t>
            </w: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35,295</w:t>
            </w:r>
          </w:p>
        </w:tc>
        <w:tc>
          <w:tcPr>
            <w:tcW w:w="1860" w:type="dxa"/>
            <w:vAlign w:val="bottom"/>
          </w:tcPr>
          <w:p>
            <w:pPr>
              <w:jc w:val="right"/>
              <w:spacing w:after="0"/>
              <w:rPr>
                <w:sz w:val="20"/>
                <w:szCs w:val="20"/>
                <w:color w:val="auto"/>
              </w:rPr>
            </w:pPr>
            <w:r>
              <w:rPr>
                <w:rFonts w:ascii="Arial" w:cs="Arial" w:eastAsia="Arial" w:hAnsi="Arial"/>
                <w:sz w:val="18"/>
                <w:szCs w:val="18"/>
                <w:color w:val="auto"/>
              </w:rPr>
              <w:t>88.6 %</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155,207</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92,443</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943,675</w:t>
            </w: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741,457</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Mountain operating expense:</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259,119</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212,415</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Retail cost of sales</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50,911</w:t>
            </w: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40,975</w:t>
            </w:r>
          </w:p>
        </w:tc>
        <w:tc>
          <w:tcPr>
            <w:tcW w:w="1860" w:type="dxa"/>
            <w:vAlign w:val="bottom"/>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related fees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39,993</w:t>
            </w: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28,985</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142,262</w:t>
            </w: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115,721</w:t>
            </w:r>
          </w:p>
        </w:tc>
        <w:tc>
          <w:tcPr>
            <w:tcW w:w="1860" w:type="dxa"/>
            <w:vAlign w:val="bottom"/>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176,193</w:t>
            </w: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151,158</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 Mountain operating expense</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668,478</w:t>
            </w: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549,254</w:t>
            </w:r>
          </w:p>
        </w:tc>
        <w:tc>
          <w:tcPr>
            <w:tcW w:w="1860" w:type="dxa"/>
            <w:vAlign w:val="bottom"/>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2,332</w:t>
            </w: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277,529</w:t>
            </w: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197,369</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40.6 %</w:t>
            </w:r>
          </w:p>
        </w:tc>
        <w:tc>
          <w:tcPr>
            <w:tcW w:w="0" w:type="dxa"/>
            <w:vAlign w:val="bottom"/>
          </w:tcPr>
          <w:p>
            <w:pPr>
              <w:spacing w:after="0"/>
              <w:rPr>
                <w:sz w:val="1"/>
                <w:szCs w:val="1"/>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380" w:type="dxa"/>
            <w:vAlign w:val="bottom"/>
          </w:tcPr>
          <w:p>
            <w:pPr>
              <w:spacing w:after="0"/>
              <w:rPr>
                <w:sz w:val="19"/>
                <w:szCs w:val="19"/>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7,576</w:t>
            </w: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7,003</w:t>
            </w:r>
          </w:p>
        </w:tc>
        <w:tc>
          <w:tcPr>
            <w:tcW w:w="186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70.74</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540" w:right="1580" w:hanging="5532"/>
        <w:spacing w:after="0" w:line="989" w:lineRule="auto"/>
        <w:tabs>
          <w:tab w:leader="none" w:pos="179"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Segment results for the six months ended January 31, 2021 have been retrospectively adjusted to reflect current period presentation.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Mountain Reported EBITDA includes $10.8 million and $10.3 million of stock-based compensation expense for the six months ended January 31, 2022 and 2021, respectively.</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Mountain Reported EBITDA increased $80.2 million, or 40.6%, primarily due to strong North American pass sales growth for the 2021/2022 North American ski season and fewer COVID-19 related limitations and restrictions on our North American operations compared to the prior year. Visitation across our North American Resorts increased relative to prior year levels, but was partially offset by the negative impact of delayed Resort openings due to challenging early season conditions. These increases were partially offset by an increase in variable expenses associated with the increase in revenue and visitation, and an increase in general and administrative expenses primarily due to cost discipline efforts in the prior year associated with lower levels of operations. Additionally, our operations during both the three months ended October 31, 2021 and 2020 were negatively impacted by periodic resort closures at our Australian ski areas due to regional lockdowns as a result of COVID-19. Mountain segment results also include $3.1 million and $0.8 million of acquisition and integration related expenses for the six months ended January 31, 2022 and 2021, respectively, which are recorded within Mountain other operating expense.</w:t>
      </w:r>
    </w:p>
    <w:p>
      <w:pPr>
        <w:spacing w:after="0" w:line="2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our North American Resorts primarily opened for ski season operations during our second fiscal quarter, certain components of Mountain segment net revenue, such as North American lift and ski school revenues for the six months ended January 31, 2022 and 2021 are materially unchanged as compared to those same components for the three months ended January 31, 2022 and 2021. Accordingly, the primary basis for the changes to these components of our North American Resorts for the six months ended January 31, 2022 as compared to the prior period are discussed above under the section heading “</w:t>
      </w:r>
      <w:r>
        <w:rPr>
          <w:rFonts w:ascii="Arial" w:cs="Arial" w:eastAsia="Arial" w:hAnsi="Arial"/>
          <w:sz w:val="16"/>
          <w:szCs w:val="16"/>
          <w:i w:val="1"/>
          <w:iCs w:val="1"/>
          <w:color w:val="auto"/>
        </w:rPr>
        <w:t>Three</w:t>
      </w:r>
      <w:r>
        <w:rPr>
          <w:rFonts w:ascii="Arial" w:cs="Arial" w:eastAsia="Arial" w:hAnsi="Arial"/>
          <w:sz w:val="16"/>
          <w:szCs w:val="16"/>
          <w:color w:val="auto"/>
        </w:rPr>
        <w:t xml:space="preserve"> </w:t>
      </w:r>
      <w:r>
        <w:rPr>
          <w:rFonts w:ascii="Arial" w:cs="Arial" w:eastAsia="Arial" w:hAnsi="Arial"/>
          <w:sz w:val="16"/>
          <w:szCs w:val="16"/>
          <w:i w:val="1"/>
          <w:iCs w:val="1"/>
          <w:color w:val="auto"/>
        </w:rPr>
        <w:t>months ended January 31, 2022 compared to the three months ended January 31, 2021</w:t>
      </w:r>
      <w:r>
        <w:rPr>
          <w:rFonts w:ascii="Arial" w:cs="Arial" w:eastAsia="Arial" w:hAnsi="Arial"/>
          <w:sz w:val="16"/>
          <w:szCs w:val="16"/>
          <w:color w:val="auto"/>
        </w:rPr>
        <w:t>.” Additionally, lift revenue and ski school revenue were both</w:t>
      </w:r>
      <w:r>
        <w:rPr>
          <w:rFonts w:ascii="Arial" w:cs="Arial" w:eastAsia="Arial" w:hAnsi="Arial"/>
          <w:sz w:val="16"/>
          <w:szCs w:val="16"/>
          <w:i w:val="1"/>
          <w:iCs w:val="1"/>
          <w:color w:val="auto"/>
        </w:rPr>
        <w:t xml:space="preserve"> </w:t>
      </w:r>
      <w:r>
        <w:rPr>
          <w:rFonts w:ascii="Arial" w:cs="Arial" w:eastAsia="Arial" w:hAnsi="Arial"/>
          <w:sz w:val="16"/>
          <w:szCs w:val="16"/>
          <w:color w:val="auto"/>
        </w:rPr>
        <w:t>negatively impacted by decreased results at our Australian ski areas, primarily due to periodic COVID-19 related closures at Perisher in the current year.</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Dining revenue increased $31.3 million, or 88.6%, and retail/rental revenue increased $42.8 million, or 38.0%, both primarily due to fewer COVID-19 related limitations and restrictions on our North American winter operations as compared to the prior year, as well as an increase in demand over the prior year.</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revenue mainly consists of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includes Australian resort lodging and transportation revenue. Other revenue increased $21.0 million, 29.4%, primarily due to increased summer activities, employee housing, guest services and private club revenue as a result of increased visitation and fewer COVID-19 related limitations and restrictions on our North American operations as compared to the prior year.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 increased $119.2 million, 21.7%, which was primarily attributable to increased variable expenses associated with increases in revenue, and the impact of cost discipline efforts in the prior year associated with lower levels of operations, including limitations, restrictions and closures resulting from COVID-19. Additionally, operating expense includes $3.1 million and $0.8 million of acquisition and integration related expenses for the six months ended January 31, 2022 and 2021, respectively.</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Labor and labor-related benefits increased 22.0%, primarily due to increased staffing associated with an increase in visitation and the impact of COVID-19 related cost actions in the prior year, including salary reductions, as well as a decrease of $9.9 million in tax credits from COVID-19 related legislation in Canada. Retail cost of sales increased 24.2%, compared to an increase in retail sales of 36.8%, reflecting increased margins on a higher mix of newer, higher-margin retail products. Resort related fees increased 38.0%, primarily due to increases in revenue on which those fees are based. General and administrative expense increased 22.9%, primarily due to an increase in allocated corporate overhead costs across all corporate functions, which were impacted in the prior year by COVID-19 related cost management, as well as a decrease in tax credits of approximately $3.7 million associated with COVID-19 related legislation in Canada and Australia. Other expense increased 16.6%, primarily due to increases in variable operating expenses associated with increased revenues and visitation, as well as an increase in acquisition and integration related expenses of $2.3 million.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Mountain equity investment income, net primarily includes our share of income from the operations of a real estate brokerage company. Mountain equity investment income from the real estate brokerage company decreased $2.8 million, or 54.9%, for the six months ended January 31, 2022 compared to the same period in the prior year due to a lower number of real estate sales and lower average price of those sales.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2022 compared to the three months ended January 31, 2021</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Lodging segment operating results for the three months ended January 31, 2022 and 2021 are presented by category as follows (in thousands, except average daily rates (“ADR”) and revenue per available room (“RevPAR”)):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Three Months Ended January 31,</w:t>
            </w: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3"/>
              <w:spacing w:after="0" w:line="95"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line="20" w:lineRule="exact"/>
              <w:rPr>
                <w:sz w:val="1"/>
                <w:szCs w:val="1"/>
                <w:color w:val="auto"/>
              </w:rPr>
            </w:pPr>
          </w:p>
        </w:tc>
        <w:tc>
          <w:tcPr>
            <w:tcW w:w="126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Owned hotel rooms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13,584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6,708</w:t>
            </w:r>
          </w:p>
        </w:tc>
        <w:tc>
          <w:tcPr>
            <w:tcW w:w="1880" w:type="dxa"/>
            <w:vAlign w:val="bottom"/>
          </w:tcPr>
          <w:p>
            <w:pPr>
              <w:jc w:val="right"/>
              <w:spacing w:after="0"/>
              <w:rPr>
                <w:sz w:val="20"/>
                <w:szCs w:val="20"/>
                <w:color w:val="auto"/>
              </w:rPr>
            </w:pPr>
            <w:r>
              <w:rPr>
                <w:rFonts w:ascii="Arial" w:cs="Arial" w:eastAsia="Arial" w:hAnsi="Arial"/>
                <w:sz w:val="18"/>
                <w:szCs w:val="18"/>
                <w:color w:val="auto"/>
              </w:rPr>
              <w:t>102.5 %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Managed condominium rooms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33,125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20,336</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Dining</w:t>
            </w:r>
          </w:p>
        </w:tc>
        <w:tc>
          <w:tcPr>
            <w:tcW w:w="36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8,375</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2,448</w:t>
            </w:r>
          </w:p>
        </w:tc>
        <w:tc>
          <w:tcPr>
            <w:tcW w:w="1880" w:type="dxa"/>
            <w:vAlign w:val="bottom"/>
          </w:tcPr>
          <w:p>
            <w:pPr>
              <w:jc w:val="right"/>
              <w:spacing w:after="0"/>
              <w:rPr>
                <w:sz w:val="20"/>
                <w:szCs w:val="20"/>
                <w:color w:val="auto"/>
              </w:rPr>
            </w:pPr>
            <w:r>
              <w:rPr>
                <w:rFonts w:ascii="Arial" w:cs="Arial" w:eastAsia="Arial" w:hAnsi="Arial"/>
                <w:sz w:val="18"/>
                <w:szCs w:val="18"/>
                <w:color w:val="auto"/>
              </w:rPr>
              <w:t>242.1 %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5,766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9,269</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70,119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40,333</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Payroll cost reimbursements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1,861</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71,980</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Lodging operating expense: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30,089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13,736</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12,355</w:t>
            </w:r>
          </w:p>
        </w:tc>
        <w:tc>
          <w:tcPr>
            <w:tcW w:w="188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16,926</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60,751</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46,811</w:t>
            </w:r>
          </w:p>
        </w:tc>
        <w:tc>
          <w:tcPr>
            <w:tcW w:w="1880" w:type="dxa"/>
            <w:vAlign w:val="bottom"/>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Reimbursed payroll costs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1,861</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operating expense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62,612</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48,829</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Lodging Reported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9,368</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Owned hotel statistics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338.39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275.33</w:t>
            </w:r>
          </w:p>
        </w:tc>
        <w:tc>
          <w:tcPr>
            <w:tcW w:w="1880" w:type="dxa"/>
            <w:vAlign w:val="bottom"/>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Managed condominium statistics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501.70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165.86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87.47</w:t>
            </w:r>
          </w:p>
        </w:tc>
        <w:tc>
          <w:tcPr>
            <w:tcW w:w="1880" w:type="dxa"/>
            <w:vAlign w:val="bottom"/>
          </w:tcPr>
          <w:p>
            <w:pPr>
              <w:jc w:val="right"/>
              <w:spacing w:after="0"/>
              <w:rPr>
                <w:sz w:val="20"/>
                <w:szCs w:val="20"/>
                <w:color w:val="auto"/>
              </w:rPr>
            </w:pPr>
            <w:r>
              <w:rPr>
                <w:rFonts w:ascii="Arial" w:cs="Arial" w:eastAsia="Arial" w:hAnsi="Arial"/>
                <w:sz w:val="18"/>
                <w:szCs w:val="18"/>
                <w:color w:val="auto"/>
              </w:rPr>
              <w:t>89.6 %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463.26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382.40</w:t>
            </w:r>
          </w:p>
        </w:tc>
        <w:tc>
          <w:tcPr>
            <w:tcW w:w="1880" w:type="dxa"/>
            <w:vAlign w:val="bottom"/>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165.46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86.0 %</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Segment results for the three months ended January 31, 2021 have been retrospectively adjusted to reflect current period presentation.</w:t>
      </w:r>
    </w:p>
    <w:p>
      <w:pPr>
        <w:spacing w:after="0" w:line="93" w:lineRule="exact"/>
        <w:rPr>
          <w:rFonts w:ascii="Arial" w:cs="Arial" w:eastAsia="Arial" w:hAnsi="Arial"/>
          <w:sz w:val="21"/>
          <w:szCs w:val="21"/>
          <w:color w:val="auto"/>
          <w:vertAlign w:val="superscript"/>
        </w:rPr>
      </w:pPr>
    </w:p>
    <w:p>
      <w:pPr>
        <w:ind w:firstLine="8"/>
        <w:spacing w:after="0" w:line="227" w:lineRule="auto"/>
        <w:tabs>
          <w:tab w:leader="none" w:pos="201"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RevPAR for the three months ended January 31, 2022 increased significantly compared to the prior comparative period primarily due to the greater impact of COVID-19 related limitations and restrictions on our North American winter operations in the prior year.</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Lodging Reported EBITDA includes $1.0 million of stock-based compensation expense for both the three months ended January 31, 2022 and 2021. Lodging Reported EBITDA increased $15.8 million, or 244.6%, primarily as a result of fewer COVID-19 capacity-related restrictions and limitations on our North American operations compared to the prior year, which resulted in increased occupancy at our lodging properties compared to the prior year, as well as an increase in ADR of 21.1% driven by increased pricing at our owned hotels and managed condominiums to match demand.</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from owned hotel rooms, managed condominium rooms, dining, transportation, and other revenue each increased primarily as a result of fewer COVID-19 related limitations and restrictions as compared to the prior year, as well as an increase in demand over the prior year.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spacing w:after="0" w:line="296" w:lineRule="auto"/>
        <w:rPr>
          <w:sz w:val="20"/>
          <w:szCs w:val="20"/>
          <w:color w:val="auto"/>
        </w:rPr>
      </w:pPr>
      <w:r>
        <w:rPr>
          <w:rFonts w:ascii="Arial" w:cs="Arial" w:eastAsia="Arial" w:hAnsi="Arial"/>
          <w:sz w:val="16"/>
          <w:szCs w:val="16"/>
          <w:color w:val="auto"/>
        </w:rPr>
        <w:t>Operating expense (excluding reimbursed payroll costs) increased 29.8%. Labor and labor related benefits increased 34.4%, primarily due to increased staffing associated with improved North American operations in the current year as a result of fewer COVID-19 related limitations and restrictions as compared to the prior year, as well as an increase in demand over the prior year. General and administrative expense increased 11.2% primarily due to an increase in allocated corporate overhead costs for nearly all corporate functions, which were impacted in the prior year by COVID-19 related cost management. Other expense increased 40.3%, primarily related to higher variable expenses associated with increased revenue.</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2022 compared to the six months ended January 31, 2021</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six months ended January 31, 2022 and 2021 are presented by category as follows (in thousands, except ADR and RevPAR):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Six Months Ended January 31,</w:t>
            </w: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3"/>
              <w:spacing w:after="0" w:line="95" w:lineRule="exact"/>
              <w:rPr>
                <w:sz w:val="20"/>
                <w:szCs w:val="20"/>
                <w:color w:val="auto"/>
              </w:rPr>
            </w:pPr>
            <w:r>
              <w:rPr>
                <w:rFonts w:ascii="Arial" w:cs="Arial" w:eastAsia="Arial" w:hAnsi="Arial"/>
                <w:sz w:val="10"/>
                <w:szCs w:val="10"/>
                <w:b w:val="1"/>
                <w:bCs w:val="1"/>
                <w:color w:val="auto"/>
              </w:rPr>
              <w:t>Increase</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line="20" w:lineRule="exact"/>
              <w:rPr>
                <w:sz w:val="1"/>
                <w:szCs w:val="1"/>
                <w:color w:val="auto"/>
              </w:rPr>
            </w:pPr>
          </w:p>
        </w:tc>
        <w:tc>
          <w:tcPr>
            <w:tcW w:w="126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35,067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14,073</w:t>
            </w:r>
          </w:p>
        </w:tc>
        <w:tc>
          <w:tcPr>
            <w:tcW w:w="1880" w:type="dxa"/>
            <w:vAlign w:val="bottom"/>
          </w:tcPr>
          <w:p>
            <w:pPr>
              <w:jc w:val="right"/>
              <w:spacing w:after="0"/>
              <w:rPr>
                <w:sz w:val="20"/>
                <w:szCs w:val="20"/>
                <w:color w:val="auto"/>
              </w:rPr>
            </w:pPr>
            <w:r>
              <w:rPr>
                <w:rFonts w:ascii="Arial" w:cs="Arial" w:eastAsia="Arial" w:hAnsi="Arial"/>
                <w:sz w:val="18"/>
                <w:szCs w:val="18"/>
                <w:color w:val="auto"/>
              </w:rPr>
              <w:t>149.2 %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46,209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29,665</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55.8 %</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18,650</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3,541</w:t>
            </w:r>
          </w:p>
        </w:tc>
        <w:tc>
          <w:tcPr>
            <w:tcW w:w="1880" w:type="dxa"/>
            <w:vAlign w:val="bottom"/>
          </w:tcPr>
          <w:p>
            <w:pPr>
              <w:jc w:val="right"/>
              <w:spacing w:after="0"/>
              <w:rPr>
                <w:sz w:val="20"/>
                <w:szCs w:val="20"/>
                <w:color w:val="auto"/>
              </w:rPr>
            </w:pPr>
            <w:r>
              <w:rPr>
                <w:rFonts w:ascii="Arial" w:cs="Arial" w:eastAsia="Arial" w:hAnsi="Arial"/>
                <w:sz w:val="18"/>
                <w:szCs w:val="18"/>
                <w:color w:val="auto"/>
              </w:rPr>
              <w:t>426.7 %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7,559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Golf</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5,118</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3,691</w:t>
            </w:r>
          </w:p>
        </w:tc>
        <w:tc>
          <w:tcPr>
            <w:tcW w:w="1880" w:type="dxa"/>
            <w:vAlign w:val="bottom"/>
          </w:tcPr>
          <w:p>
            <w:pPr>
              <w:jc w:val="right"/>
              <w:spacing w:after="0"/>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21,736</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134,339</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71,183</w:t>
            </w:r>
          </w:p>
        </w:tc>
        <w:tc>
          <w:tcPr>
            <w:tcW w:w="1880" w:type="dxa"/>
            <w:vAlign w:val="bottom"/>
          </w:tcPr>
          <w:p>
            <w:pPr>
              <w:jc w:val="right"/>
              <w:spacing w:after="0"/>
              <w:rPr>
                <w:sz w:val="20"/>
                <w:szCs w:val="20"/>
                <w:color w:val="auto"/>
              </w:rPr>
            </w:pPr>
            <w:r>
              <w:rPr>
                <w:rFonts w:ascii="Arial" w:cs="Arial" w:eastAsia="Arial" w:hAnsi="Arial"/>
                <w:sz w:val="18"/>
                <w:szCs w:val="18"/>
                <w:color w:val="auto"/>
              </w:rPr>
              <w:t>88.7 %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3,602</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137,941</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74,404</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operating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57,738</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40,872</w:t>
            </w:r>
          </w:p>
        </w:tc>
        <w:tc>
          <w:tcPr>
            <w:tcW w:w="1880" w:type="dxa"/>
            <w:vAlign w:val="bottom"/>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26,233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38,449</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122,420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Reimbursed payroll costs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3,602</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126,022</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11,919</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(16,098)</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174.0 %</w:t>
            </w: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hotel statistics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296.18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240.84</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164.96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75.03</w:t>
            </w:r>
          </w:p>
        </w:tc>
        <w:tc>
          <w:tcPr>
            <w:tcW w:w="1880" w:type="dxa"/>
            <w:vAlign w:val="bottom"/>
          </w:tcPr>
          <w:p>
            <w:pPr>
              <w:jc w:val="right"/>
              <w:spacing w:after="0"/>
              <w:rPr>
                <w:sz w:val="20"/>
                <w:szCs w:val="20"/>
                <w:color w:val="auto"/>
              </w:rPr>
            </w:pPr>
            <w:r>
              <w:rPr>
                <w:rFonts w:ascii="Arial" w:cs="Arial" w:eastAsia="Arial" w:hAnsi="Arial"/>
                <w:sz w:val="18"/>
                <w:szCs w:val="18"/>
                <w:color w:val="auto"/>
              </w:rPr>
              <w:t>119.9 %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Managed condominium statistics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371.67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346.25</w:t>
            </w:r>
          </w:p>
        </w:tc>
        <w:tc>
          <w:tcPr>
            <w:tcW w:w="188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101.49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Owned hotel and managed condominium statistics (combined) </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353.76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121.13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60.89</w:t>
            </w:r>
          </w:p>
        </w:tc>
        <w:tc>
          <w:tcPr>
            <w:tcW w:w="1880" w:type="dxa"/>
            <w:vAlign w:val="bottom"/>
          </w:tcPr>
          <w:p>
            <w:pPr>
              <w:jc w:val="right"/>
              <w:spacing w:after="0"/>
              <w:rPr>
                <w:sz w:val="20"/>
                <w:szCs w:val="20"/>
                <w:color w:val="auto"/>
              </w:rPr>
            </w:pPr>
            <w:r>
              <w:rPr>
                <w:rFonts w:ascii="Arial" w:cs="Arial" w:eastAsia="Arial" w:hAnsi="Arial"/>
                <w:sz w:val="18"/>
                <w:szCs w:val="18"/>
                <w:color w:val="auto"/>
              </w:rPr>
              <w:t>98.9 %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Segment results for the six months ended January 31, 2021 have been retrospectively adjusted to reflect current period presentation.</w:t>
      </w:r>
    </w:p>
    <w:p>
      <w:pPr>
        <w:spacing w:after="0" w:line="93" w:lineRule="exact"/>
        <w:rPr>
          <w:rFonts w:ascii="Arial" w:cs="Arial" w:eastAsia="Arial" w:hAnsi="Arial"/>
          <w:sz w:val="21"/>
          <w:szCs w:val="21"/>
          <w:color w:val="auto"/>
          <w:vertAlign w:val="superscript"/>
        </w:rPr>
      </w:pPr>
    </w:p>
    <w:p>
      <w:pPr>
        <w:ind w:right="20" w:firstLine="8"/>
        <w:spacing w:after="0" w:line="267" w:lineRule="auto"/>
        <w:tabs>
          <w:tab w:leader="none" w:pos="182"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Combined RevPAR for the six months ended January 31, 2022 increased compared to the prior comparative period primarily due to the greater impact of limitations and restrictions on our North American operations resulting from COVID-19 in the prior year, particularly for owned hotel rooms.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3" w:name="page34"/>
    <w:bookmarkEnd w:id="33"/>
    <w:p>
      <w:pPr>
        <w:jc w:val="both"/>
        <w:spacing w:after="0" w:line="296" w:lineRule="auto"/>
        <w:rPr>
          <w:sz w:val="20"/>
          <w:szCs w:val="20"/>
          <w:color w:val="auto"/>
        </w:rPr>
      </w:pPr>
      <w:r>
        <w:rPr>
          <w:rFonts w:ascii="Arial" w:cs="Arial" w:eastAsia="Arial" w:hAnsi="Arial"/>
          <w:sz w:val="16"/>
          <w:szCs w:val="16"/>
          <w:color w:val="auto"/>
        </w:rPr>
        <w:t>Lodging Reported EBITDA includes $2.0 million and $1.9 million of stock-based compensation expense for the six months ended January 31, 2022 and 2021, respectively. Lodging Reported EBITDA increased $28.0 million, or 174.0%, primarily as a result of fewer COVID-19 capacity-related restrictions and limitations on our North American operations compared to the prior year, which resulted in increased occupancy at our lodging properties as compared to the prior year, as well as an increase in ADR of 11.4% driven by increased pricing at our owned hotels and managed condominiums to match demand, partially offset by increased general and administrative expenses primarily due to COVID-19 related cost management in the prior year.</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from owned hotel rooms, managed condominium rooms, dining, transportation, golf and other revenue each increased primarily as a result of fewer COVID-19 related limitations and restrictions as compared to the prior year, as well as an increase in demand over the prior year.</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expense (excluding reimbursed payroll costs) increased 40.3%. Labor and labor related benefits increased 41.3%, primarily due to increased staffing associated with improved North American operations in the current year as a result of fewer COVID-19 related limitations and restrictions and increased demand, as well as the impact of salary reductions in the prior year. General and administrative expense increased 22.4% primarily due to an increase in allocated corporate overhead costs for nearly all functions, which were impacted in the prior year by COVID-19 related cost management. Other expense increased 53.9%, primarily related to higher variable expenses associated with increased revenue.</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4" w:name="page35"/>
    <w:bookmarkEnd w:id="34"/>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2022 compared to the three months ended January 31, 2021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January 31, 2022 and 2021 are presented by category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January 31,</w:t>
            </w:r>
          </w:p>
        </w:tc>
        <w:tc>
          <w:tcPr>
            <w:tcW w:w="600" w:type="dxa"/>
            <w:vAlign w:val="bottom"/>
          </w:tcPr>
          <w:p>
            <w:pPr>
              <w:spacing w:after="0"/>
              <w:rPr>
                <w:sz w:val="14"/>
                <w:szCs w:val="14"/>
                <w:color w:val="auto"/>
              </w:rPr>
            </w:pPr>
          </w:p>
        </w:tc>
        <w:tc>
          <w:tcPr>
            <w:tcW w:w="188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6"/>
              <w:spacing w:after="0" w:line="135"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1"/>
        </w:trPr>
        <w:tc>
          <w:tcPr>
            <w:tcW w:w="6020" w:type="dxa"/>
            <w:vAlign w:val="bottom"/>
          </w:tcPr>
          <w:p>
            <w:pPr>
              <w:spacing w:after="0"/>
              <w:rPr>
                <w:sz w:val="5"/>
                <w:szCs w:val="5"/>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5"/>
                <w:szCs w:val="5"/>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8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Real Estate operating expense:</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(including sales commission)</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1,511</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operating expense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1,511</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real property</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931</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did not close on any significant real estate transactions during the three months ended January 31, 2022 and 2021. Other operating expense for both the three months ended January 31, 2022 and 2021 was primarily comprised of general and administrative costs, such as labor and labor-related benefits, professional services and allocated corporate overhead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2022 compared to the six months ended January 31, 2021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six months ended January 31, 2022 and 2021 are presented by category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92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Six Months Ended January 31,</w:t>
            </w:r>
          </w:p>
        </w:tc>
        <w:tc>
          <w:tcPr>
            <w:tcW w:w="600" w:type="dxa"/>
            <w:vAlign w:val="bottom"/>
          </w:tcPr>
          <w:p>
            <w:pPr>
              <w:spacing w:after="0"/>
              <w:rPr>
                <w:sz w:val="14"/>
                <w:szCs w:val="14"/>
                <w:color w:val="auto"/>
              </w:rPr>
            </w:pPr>
          </w:p>
        </w:tc>
        <w:tc>
          <w:tcPr>
            <w:tcW w:w="1860" w:type="dxa"/>
            <w:vAlign w:val="bottom"/>
          </w:tcPr>
          <w:p>
            <w:pPr>
              <w:jc w:val="center"/>
              <w:ind w:left="1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60" w:type="dxa"/>
            <w:vAlign w:val="bottom"/>
            <w:vMerge w:val="restart"/>
          </w:tcPr>
          <w:p>
            <w:pPr>
              <w:jc w:val="center"/>
              <w:ind w:left="16"/>
              <w:spacing w:after="0" w:line="135"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1"/>
        </w:trPr>
        <w:tc>
          <w:tcPr>
            <w:tcW w:w="5860" w:type="dxa"/>
            <w:vAlign w:val="bottom"/>
          </w:tcPr>
          <w:p>
            <w:pPr>
              <w:spacing w:after="0"/>
              <w:rPr>
                <w:sz w:val="5"/>
                <w:szCs w:val="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5"/>
                <w:szCs w:val="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495</w:t>
            </w:r>
          </w:p>
        </w:tc>
        <w:tc>
          <w:tcPr>
            <w:tcW w:w="116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Real Estate operating expense:</w:t>
            </w: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(including sales commission)</w:t>
            </w:r>
          </w:p>
        </w:tc>
        <w:tc>
          <w:tcPr>
            <w:tcW w:w="9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244</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2,737</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operating expense</w:t>
            </w:r>
          </w:p>
        </w:tc>
        <w:tc>
          <w:tcPr>
            <w:tcW w:w="9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2,981</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real property</w:t>
            </w:r>
          </w:p>
        </w:tc>
        <w:tc>
          <w:tcPr>
            <w:tcW w:w="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962</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8"/>
              </w:rPr>
              <w:t>(1,524)</w:t>
            </w:r>
          </w:p>
        </w:tc>
        <w:tc>
          <w:tcPr>
            <w:tcW w:w="116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(2,496)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38.9 %</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did not close on any significant real estate transactions during the six months ended January 31, 2022 and 2021. Other operating expense for both the six months ended January 31, 2022 and 2021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segment operating results, the following material items contributed to our overall financial results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2022 and 2021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Three Months Ended January 31,</w:t>
            </w:r>
          </w:p>
        </w:tc>
        <w:tc>
          <w:tcPr>
            <w:tcW w:w="15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Increase</w:t>
            </w: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Six Months Ended January 31,</w:t>
            </w:r>
          </w:p>
        </w:tc>
        <w:tc>
          <w:tcPr>
            <w:tcW w:w="14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7"/>
        </w:trPr>
        <w:tc>
          <w:tcPr>
            <w:tcW w:w="2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5"/>
                <w:szCs w:val="5"/>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5"/>
                <w:szCs w:val="5"/>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(Decrease)</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7"/>
              </w:rPr>
              <w:t>Change in estimated fair value of</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(16,780)</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(1,000)</w:t>
            </w:r>
          </w:p>
        </w:tc>
        <w:tc>
          <w:tcPr>
            <w:tcW w:w="15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1,578.0 %</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(18,780)</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(1,802)</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942.2 %</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2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line="176" w:lineRule="exact"/>
              <w:rPr>
                <w:sz w:val="20"/>
                <w:szCs w:val="20"/>
                <w:color w:val="auto"/>
              </w:rPr>
            </w:pPr>
            <w:r>
              <w:rPr>
                <w:rFonts w:ascii="Arial" w:cs="Arial" w:eastAsia="Arial" w:hAnsi="Arial"/>
                <w:sz w:val="18"/>
                <w:szCs w:val="18"/>
                <w:color w:val="auto"/>
              </w:rPr>
              <w:t>Foreign currency (loss) gain on</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ind w:right="155"/>
              <w:spacing w:after="0"/>
              <w:rPr>
                <w:sz w:val="20"/>
                <w:szCs w:val="20"/>
                <w:color w:val="auto"/>
              </w:rPr>
            </w:pPr>
            <w:r>
              <w:rPr>
                <w:rFonts w:ascii="Arial" w:cs="Arial" w:eastAsia="Arial" w:hAnsi="Arial"/>
                <w:sz w:val="18"/>
                <w:szCs w:val="18"/>
                <w:color w:val="auto"/>
              </w:rPr>
              <w:t>(2,870)</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33"/>
              <w:spacing w:after="0"/>
              <w:rPr>
                <w:sz w:val="20"/>
                <w:szCs w:val="20"/>
                <w:color w:val="auto"/>
              </w:rPr>
            </w:pPr>
            <w:r>
              <w:rPr>
                <w:rFonts w:ascii="Arial" w:cs="Arial" w:eastAsia="Arial" w:hAnsi="Arial"/>
                <w:sz w:val="18"/>
                <w:szCs w:val="18"/>
                <w:color w:val="auto"/>
              </w:rPr>
              <w:t>5,135</w:t>
            </w:r>
          </w:p>
        </w:tc>
        <w:tc>
          <w:tcPr>
            <w:tcW w:w="1540" w:type="dxa"/>
            <w:vAlign w:val="bottom"/>
            <w:vMerge w:val="restart"/>
          </w:tcPr>
          <w:p>
            <w:pPr>
              <w:jc w:val="right"/>
              <w:ind w:right="35"/>
              <w:spacing w:after="0"/>
              <w:rPr>
                <w:sz w:val="20"/>
                <w:szCs w:val="20"/>
                <w:color w:val="auto"/>
              </w:rPr>
            </w:pPr>
            <w:r>
              <w:rPr>
                <w:rFonts w:ascii="Arial" w:cs="Arial" w:eastAsia="Arial" w:hAnsi="Arial"/>
                <w:sz w:val="18"/>
                <w:szCs w:val="18"/>
                <w:color w:val="auto"/>
              </w:rPr>
              <w:t>(155.9)%</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35"/>
              <w:spacing w:after="0"/>
              <w:rPr>
                <w:sz w:val="20"/>
                <w:szCs w:val="20"/>
                <w:color w:val="auto"/>
              </w:rPr>
            </w:pPr>
            <w:r>
              <w:rPr>
                <w:rFonts w:ascii="Arial" w:cs="Arial" w:eastAsia="Arial" w:hAnsi="Arial"/>
                <w:sz w:val="18"/>
                <w:szCs w:val="18"/>
                <w:color w:val="auto"/>
              </w:rPr>
              <w:t>(2,039)</w:t>
            </w: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33"/>
              <w:spacing w:after="0"/>
              <w:rPr>
                <w:sz w:val="20"/>
                <w:szCs w:val="20"/>
                <w:color w:val="auto"/>
              </w:rPr>
            </w:pPr>
            <w:r>
              <w:rPr>
                <w:rFonts w:ascii="Arial" w:cs="Arial" w:eastAsia="Arial" w:hAnsi="Arial"/>
                <w:sz w:val="18"/>
                <w:szCs w:val="18"/>
                <w:color w:val="auto"/>
              </w:rPr>
              <w:t>5,675</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intercompany loans</w:t>
            </w:r>
          </w:p>
        </w:tc>
        <w:tc>
          <w:tcPr>
            <w:tcW w:w="2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(loss) on disposal of fixed</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195"/>
              <w:spacing w:after="0"/>
              <w:rPr>
                <w:sz w:val="20"/>
                <w:szCs w:val="20"/>
                <w:color w:val="auto"/>
              </w:rPr>
            </w:pPr>
            <w:r>
              <w:rPr>
                <w:rFonts w:ascii="Arial" w:cs="Arial" w:eastAsia="Arial" w:hAnsi="Arial"/>
                <w:sz w:val="18"/>
                <w:szCs w:val="18"/>
                <w:color w:val="auto"/>
              </w:rPr>
              <w:t>7,347</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(2,192)</w:t>
            </w:r>
          </w:p>
        </w:tc>
        <w:tc>
          <w:tcPr>
            <w:tcW w:w="15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435.2 %</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75"/>
              <w:spacing w:after="0"/>
              <w:rPr>
                <w:sz w:val="20"/>
                <w:szCs w:val="20"/>
                <w:color w:val="auto"/>
              </w:rPr>
            </w:pPr>
            <w:r>
              <w:rPr>
                <w:rFonts w:ascii="Arial" w:cs="Arial" w:eastAsia="Arial" w:hAnsi="Arial"/>
                <w:sz w:val="18"/>
                <w:szCs w:val="18"/>
                <w:color w:val="auto"/>
              </w:rPr>
              <w:t>16,214</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(2,761)</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687.3 %</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and other, net</w:t>
            </w:r>
          </w:p>
        </w:tc>
        <w:tc>
          <w:tcPr>
            <w:tcW w:w="2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5"/>
              <w:spacing w:after="0"/>
              <w:rPr>
                <w:sz w:val="20"/>
                <w:szCs w:val="20"/>
                <w:color w:val="auto"/>
              </w:rPr>
            </w:pPr>
            <w:r>
              <w:rPr>
                <w:rFonts w:ascii="Arial" w:cs="Arial" w:eastAsia="Arial" w:hAnsi="Arial"/>
                <w:sz w:val="18"/>
                <w:szCs w:val="18"/>
                <w:color w:val="auto"/>
              </w:rPr>
              <w:t>(37,366)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(37,847)</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(76,911)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(73,254)</w:t>
            </w:r>
          </w:p>
        </w:tc>
        <w:tc>
          <w:tcPr>
            <w:tcW w:w="144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(Provision) benefit from income</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(52,049)</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(27,221)</w:t>
            </w:r>
          </w:p>
        </w:tc>
        <w:tc>
          <w:tcPr>
            <w:tcW w:w="15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91.2 %</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75"/>
              <w:spacing w:after="0"/>
              <w:rPr>
                <w:sz w:val="20"/>
                <w:szCs w:val="20"/>
                <w:color w:val="auto"/>
              </w:rPr>
            </w:pPr>
            <w:r>
              <w:rPr>
                <w:rFonts w:ascii="Arial" w:cs="Arial" w:eastAsia="Arial" w:hAnsi="Arial"/>
                <w:sz w:val="18"/>
                <w:szCs w:val="18"/>
                <w:color w:val="auto"/>
              </w:rPr>
              <w:t>7,804</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10,257</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2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3.1 pts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9.3 %</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56.5 %</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 pts</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Change in estimated fair value of contingent consideration. </w:t>
      </w:r>
      <w:r>
        <w:rPr>
          <w:rFonts w:ascii="Arial" w:cs="Arial" w:eastAsia="Arial" w:hAnsi="Arial"/>
          <w:sz w:val="18"/>
          <w:szCs w:val="18"/>
          <w:color w:val="auto"/>
        </w:rPr>
        <w:t>We recorded losses of $16.8 million and $18.8 million, respectively, for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January 31, 2022, primarily related to an increase in the estimated contingent consideration payment for Fiscal 2022.</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Foreign currency (loss) gain on intercompany loans. </w:t>
      </w:r>
      <w:r>
        <w:rPr>
          <w:rFonts w:ascii="Arial" w:cs="Arial" w:eastAsia="Arial" w:hAnsi="Arial"/>
          <w:sz w:val="17"/>
          <w:szCs w:val="17"/>
          <w:color w:val="auto"/>
        </w:rPr>
        <w:t>Foreign currency (loss) gain on intercompany loans for the three and six months ended January 31,</w:t>
      </w:r>
      <w:r>
        <w:rPr>
          <w:rFonts w:ascii="Arial" w:cs="Arial" w:eastAsia="Arial" w:hAnsi="Arial"/>
          <w:sz w:val="17"/>
          <w:szCs w:val="17"/>
          <w:i w:val="1"/>
          <w:iCs w:val="1"/>
          <w:color w:val="auto"/>
        </w:rPr>
        <w:t xml:space="preserve"> </w:t>
      </w:r>
      <w:r>
        <w:rPr>
          <w:rFonts w:ascii="Arial" w:cs="Arial" w:eastAsia="Arial" w:hAnsi="Arial"/>
          <w:sz w:val="17"/>
          <w:szCs w:val="17"/>
          <w:color w:val="auto"/>
        </w:rPr>
        <w:t>2022 decreased $8.0 million and $7.7 million, respectively, as a result of the Canadian dollar decreasing relative to the U.S. dollar compared to the same respective periods in the prior year. This activity is associated with an intercompany loan from Vail Holdings, Inc. to Whistler Blackcomb in the original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Gain (loss) on disposal of fixed assets and other, net. </w:t>
      </w:r>
      <w:r>
        <w:rPr>
          <w:rFonts w:ascii="Arial" w:cs="Arial" w:eastAsia="Arial" w:hAnsi="Arial"/>
          <w:sz w:val="17"/>
          <w:szCs w:val="17"/>
          <w:color w:val="auto"/>
        </w:rPr>
        <w:t>Gain (loss) on disposal of fixed assets and other, net for the three and six months ended January 31,</w:t>
      </w:r>
      <w:r>
        <w:rPr>
          <w:rFonts w:ascii="Arial" w:cs="Arial" w:eastAsia="Arial" w:hAnsi="Arial"/>
          <w:sz w:val="17"/>
          <w:szCs w:val="17"/>
          <w:i w:val="1"/>
          <w:iCs w:val="1"/>
          <w:color w:val="auto"/>
        </w:rPr>
        <w:t xml:space="preserve"> </w:t>
      </w:r>
      <w:r>
        <w:rPr>
          <w:rFonts w:ascii="Arial" w:cs="Arial" w:eastAsia="Arial" w:hAnsi="Arial"/>
          <w:sz w:val="17"/>
          <w:szCs w:val="17"/>
          <w:color w:val="auto"/>
        </w:rPr>
        <w:t>2022 included $7.9 million from the sale of an administrative building in Avon, CO. Gain (loss) on disposal of fixed assets and other, net for the six months ended January 31, 2022 also included proceeds from the NPS related to a partial payment for leasehold surrender interest at GTLC associated with assets that have been fully depreciated by the Company. This payment was made at the request of the NPS.</w:t>
      </w:r>
    </w:p>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for the six months ended January 31, 2022 increased $3.7 million compared to the same period in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$7.6 million of incremental non-cash interest expense associated with the amortization of the debt discount for the 0.0% Convertible Notes, partially offset by a reduction in interest expense associated with term loan borrowings under the Vail Holdings Credit Agreement.</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(Provision) benefit from income taxes. </w:t>
      </w:r>
      <w:r>
        <w:rPr>
          <w:rFonts w:ascii="Arial" w:cs="Arial" w:eastAsia="Arial" w:hAnsi="Arial"/>
          <w:sz w:val="18"/>
          <w:szCs w:val="18"/>
          <w:color w:val="auto"/>
        </w:rPr>
        <w:t>At the end of each interim period, the Company estimates the annual effective tax rate and applies that rate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 The effective tax rate (provision) benefit for the three and six months ended January 31, 2022 was (18.2)% and 9.3%, respectively, compared to (15.4)% and 56.5%, respectively, for the three and six months ended January 31, 2021.</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increase in the effective tax rate provision for the three months ended January 31, 2022 compared to the three months ended January 31, 2021 was primarily due to increases in pre-tax book income in the current period which lessens the tax impact from favorable permanent items and discrete items. The decrease in the effective tax rate benefit for the six months ended January 31, 2022 compared to the six months ended January 31, 2021 was also primarily due to an increase in pre-tax book income in the current period, compared to a loss in the prior year. Favorable discrete items included excess tax benefits of employee share award exercises and the statute closing on our uncertain tax positions.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(loss) attributable to Vail Resorts, Inc. to Total Reported EBITDA for the three and six months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and 2021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260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January 31,</w:t>
            </w:r>
          </w:p>
        </w:tc>
      </w:tr>
      <w:tr>
        <w:trPr>
          <w:trHeight w:val="188"/>
        </w:trPr>
        <w:tc>
          <w:tcPr>
            <w:tcW w:w="532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91"/>
              <w:spacing w:after="0" w:line="189"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91"/>
              <w:spacing w:after="0" w:line="189"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Vail Resorts,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223,391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84,059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10,539</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7,350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233,930</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91,409</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52,049</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w:t>
            </w: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provision for (benefit from)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285,979</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83,605</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(18,148)</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62,070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62,663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123,559</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125,291</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disposal of fixed assets and other,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(16,214)</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16,780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18,780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1,802</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Foreign currency loss (gain) on intercompany loans</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2,870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2,039</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(5,675)</w:t>
            </w: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37,366</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76,911</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73,254</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397,461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274,751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287,924</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178,775</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Mountain Reported 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388,493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282,529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277,529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197,369</w:t>
            </w: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Lodging Reported EBITDA</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9,368</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11,919</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(16,098)</w:t>
            </w:r>
          </w:p>
        </w:tc>
      </w:tr>
      <w:tr>
        <w:trPr>
          <w:trHeight w:val="223"/>
        </w:trPr>
        <w:tc>
          <w:tcPr>
            <w:tcW w:w="5320" w:type="dxa"/>
            <w:vAlign w:val="bottom"/>
          </w:tcPr>
          <w:p>
            <w:pPr>
              <w:ind w:left="220"/>
              <w:spacing w:after="0"/>
              <w:rPr>
                <w:sz w:val="20"/>
                <w:szCs w:val="20"/>
                <w:color w:val="auto"/>
              </w:rPr>
            </w:pPr>
            <w:r>
              <w:rPr>
                <w:rFonts w:ascii="Arial" w:cs="Arial" w:eastAsia="Arial" w:hAnsi="Arial"/>
                <w:sz w:val="18"/>
                <w:szCs w:val="18"/>
                <w:color w:val="auto"/>
              </w:rPr>
              <w:t>Resort Reported EBITDA</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397,861</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276,051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289,448</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181,271</w:t>
            </w: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397,461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274,751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287,924</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178,775</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8"/>
        <w:spacing w:after="0" w:line="317" w:lineRule="auto"/>
        <w:tabs>
          <w:tab w:leader="none" w:pos="165"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Segment results for the three and six months ended January 31, 2021 have been retrospectively adjusted to reflect current period presentation. See Notes to the Consolidated Condensed Financial Statements for additional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long-term debt, net to Net Debt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January 31,</w:t>
            </w:r>
          </w:p>
        </w:tc>
        <w:tc>
          <w:tcPr>
            <w:tcW w:w="1160" w:type="dxa"/>
            <w:vAlign w:val="bottom"/>
            <w:tcBorders>
              <w:bottom w:val="single" w:sz="8" w:color="auto"/>
            </w:tcBorders>
          </w:tcPr>
          <w:p>
            <w:pPr>
              <w:spacing w:after="0"/>
              <w:rPr>
                <w:sz w:val="16"/>
                <w:szCs w:val="16"/>
                <w:color w:val="auto"/>
              </w:rPr>
            </w:pPr>
          </w:p>
        </w:tc>
      </w:tr>
      <w:tr>
        <w:trPr>
          <w:trHeight w:val="187"/>
        </w:trPr>
        <w:tc>
          <w:tcPr>
            <w:tcW w:w="7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2,695,589</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2,768,015</w:t>
            </w:r>
          </w:p>
        </w:tc>
      </w:tr>
      <w:tr>
        <w:trPr>
          <w:trHeight w:val="230"/>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due within one year</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63,746</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112,796</w:t>
            </w:r>
          </w:p>
        </w:tc>
      </w:tr>
      <w:tr>
        <w:trPr>
          <w:trHeight w:val="223"/>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2,759,335</w:t>
            </w: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2,880,811</w:t>
            </w:r>
          </w:p>
        </w:tc>
      </w:tr>
      <w:tr>
        <w:trPr>
          <w:trHeight w:val="230"/>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1,407,019</w:t>
            </w: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1,301,003</w:t>
            </w:r>
          </w:p>
        </w:tc>
      </w:tr>
      <w:tr>
        <w:trPr>
          <w:trHeight w:val="248"/>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1,352,316</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1,579,808</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six months ended January 31, 2022 and 2021 are presented by categories as follows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Six Months Ended January 31,</w:t>
            </w:r>
          </w:p>
        </w:tc>
      </w:tr>
      <w:tr>
        <w:trPr>
          <w:trHeight w:val="187"/>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center"/>
              <w:ind w:left="397"/>
              <w:spacing w:after="0"/>
              <w:rPr>
                <w:sz w:val="20"/>
                <w:szCs w:val="20"/>
                <w:color w:val="auto"/>
              </w:rPr>
            </w:pPr>
            <w:r>
              <w:rPr>
                <w:rFonts w:ascii="Arial" w:cs="Arial" w:eastAsia="Arial" w:hAnsi="Arial"/>
                <w:sz w:val="18"/>
                <w:szCs w:val="18"/>
                <w:color w:val="auto"/>
                <w:w w:val="89"/>
              </w:rPr>
              <w:t>611,329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8"/>
              </w:rPr>
              <w:t>459,069</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center"/>
              <w:ind w:left="357"/>
              <w:spacing w:after="0"/>
              <w:rPr>
                <w:sz w:val="20"/>
                <w:szCs w:val="20"/>
                <w:color w:val="auto"/>
              </w:rPr>
            </w:pPr>
            <w:r>
              <w:rPr>
                <w:rFonts w:ascii="Arial" w:cs="Arial" w:eastAsia="Arial" w:hAnsi="Arial"/>
                <w:sz w:val="18"/>
                <w:szCs w:val="18"/>
                <w:color w:val="auto"/>
                <w:w w:val="90"/>
              </w:rPr>
              <w:t>(225,532)</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ind w:left="600"/>
              <w:spacing w:after="0"/>
              <w:rPr>
                <w:sz w:val="20"/>
                <w:szCs w:val="20"/>
                <w:color w:val="auto"/>
              </w:rPr>
            </w:pPr>
            <w:r>
              <w:rPr>
                <w:rFonts w:ascii="Arial" w:cs="Arial" w:eastAsia="Arial" w:hAnsi="Arial"/>
                <w:sz w:val="18"/>
                <w:szCs w:val="18"/>
                <w:color w:val="auto"/>
                <w:w w:val="92"/>
              </w:rPr>
              <w:t>(65,730)</w:t>
            </w:r>
          </w:p>
        </w:tc>
      </w:tr>
      <w:tr>
        <w:trPr>
          <w:trHeight w:val="229"/>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center"/>
              <w:ind w:left="357"/>
              <w:spacing w:after="0"/>
              <w:rPr>
                <w:sz w:val="20"/>
                <w:szCs w:val="20"/>
                <w:color w:val="auto"/>
              </w:rPr>
            </w:pPr>
            <w:r>
              <w:rPr>
                <w:rFonts w:ascii="Arial" w:cs="Arial" w:eastAsia="Arial" w:hAnsi="Arial"/>
                <w:sz w:val="18"/>
                <w:szCs w:val="18"/>
                <w:color w:val="auto"/>
                <w:w w:val="90"/>
              </w:rPr>
              <w:t>(220,693)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8"/>
              </w:rPr>
              <w:t>513,287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Six months ended January 31, 2022 compared to the six months ended January 31, 2021</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generated $611.3 million of cash from operating activities during the six months ended January 31, 2022, an increase of $152.3 million compared to $459.1 million generated during the six months ended January 31, 2021. The increase in operating cash flows was primarily a result of (i) an increase in pass product sales and associated accounts receivable collections, net of refunds, during the six months ended January 31, 2022 compared to the prior year, which was impacted by the delayed timing of pass purchases and collections associated with COVID-19 and the impact of credits offered to 2019/2020 North American pass product holders who purchased 2020/2021 pass products and (ii) increased Mountain and Lodging segment operating results during the six months ended January 31, 2022 compared to the prior year. This increase was partially offset by (i) a decrease in cash flows from accounts payable and accrued liabilities, primarily associated with the lower level of operations as of the beginning of the prior fiscal year resulting from COVID-19 and (ii) an increase in inventory purchases during the six months ended January 31, 2022 compared to the prior year.</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investing activities for the six months ended January 31, 2022 increased by $159.8 million primarily due to cash payments of $118.1 million, net of cash acquired of $0.2 million, related to the acquisition of the Seven Springs Resorts during the six months ended January 31, 2022. Additionally, capital expenditures increased by approximately $61.5 million as a result of the deferral of discretionary capital projects in the prior year related to the Company’s decision to prioritize near-term liquidity. These increases were partially offset by proceeds from the NPS related to a partial payment for leasehold surrender interest at GTLC associated with assets that have been fully depreciated by the Company, as well as the sale of an administrative building in Avon, CO for approximately $11.3 million.</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used in financing activities increased by $734.0 million during the six months ended January 31, 2022 compared to the six months ended January 31, 2021, primarily due to (i) prior year proceeds of $575.0 million from the issuance of our 0.0% Convertible Notes during the six months ended January 31, 2021; (ii) an increase in dividends paid of $71.3 million; (iii) a $51.5 million repayment of debt associated with the maturity of the EB-5 Development Notes; (iv) an increase in employee taxes paid for equity award exercises of $29.8 million; and (v) an increase in net payments under the revolver component of our Whistler Credit Agreement of $21.9 million. These decreases in cash provided by financing activities were partially offset by a decrease in financing costs primarily associated with the issuance of the 0.0% Convertible Notes in the prior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$1.4 billion of cash and cash equivalents as of January 31, 2022, compared to $1.3 billion as of January 31, 2021. The increase was primarily associated with Mountain and Lodging segment operating cash flows. Although we cannot predict the future impact associated with COVID-19 on our business, we currently anticipate that our Mountain and Lodging segment operating results will continue to provide a significant source of future operating cash flows (primarily those generated in our second and third fiscal quarters).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our $1.4 billion of cash and cash equivalents at January 31, 2022, we had $416.6 million available under the revolver component of our Vail Holdings Credit Agreement as of January 31, 2022 (which represents the total commitment of $500.0 million less certain letters of credit outstanding of $83.3 million). Additionally, we had C$272.1 million ($214.1 million) available under the revolver component of our Whistler Credit Agreement (which represents the total commitment of C$300.0 million ($236.0 million) less outstanding borrowings of C$27.0 million ($21.2 million) and a letter of credit outstanding of C$0.8 million ($0.7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LIBOR plus 1.25% and Bankers Acceptance Rate plus 1.75%, respectively. The Vail Holdings Credit Agreement, as amended by the Fourth Amendment, contains customary LIBOR replacement language, including, but not limited to, the use of rates based on the secured overnight financing rate (“SOFR”). SOFR is a broad measure of the cost of borrowing cash in the overnight U.S. Treasury repo market and is administered by the Federal Reserve Bank of New York.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jc w:val="both"/>
        <w:spacing w:after="0" w:line="269" w:lineRule="auto"/>
        <w:rPr>
          <w:sz w:val="20"/>
          <w:szCs w:val="20"/>
          <w:color w:val="auto"/>
        </w:rPr>
      </w:pPr>
      <w:r>
        <w:rPr>
          <w:rFonts w:ascii="Arial" w:cs="Arial" w:eastAsia="Arial" w:hAnsi="Arial"/>
          <w:sz w:val="16"/>
          <w:szCs w:val="16"/>
          <w:color w:val="auto"/>
        </w:rPr>
        <w:t>We currently anticipate we will spend approximately $315 million to $325 million on resort capital expenditures during calendar year 2022, excluding one-time items associated with integration activities, employee housing development projects and real estate related projects. This plan includes approximately $180 million for the installation of 21 new or replacement lifts across 14 of our resorts and a transformational lift-served terrain expansion at Keystone. The core capital plan is approximately $150 million above our typical annual capital plan, based on inflation and previous additions for acquisitions, and includes approximately $20 million of incremental spending to complete the one-time capital plans associated with the Peak Resorts and Triple Peaks acquisitions and $3 million for the addition of annual capital expenditures associated with the Seven Springs Resorts. In addition, we have announced a $4 million capital investment plan in Vail Resorts’ Commitment to Zero initiative, which includes targeted investments in high efficiency snowmaking, heating and cooling infrastructure and lighting to further improve our energy efficiency. We plan to spend approximately $9 million on integration activities related to the recently acquired Seven Springs Resorts. Including one-time investments related to integration activities and $3 million associated with real estate related projects, our total capital plan is expected to be approximately $327 million to $337 million. Included in these estimated capital expenditures are approximately $105 million to $115 million of maintenance capital expenditures, which are necessary to maintain appearance and level of service appropriate to our resort operations. We currently plan to utilize cash on hand, borrowings available under our credit agreements and/or cash flow generated from future operations to provide the cash necessary to complete our capital plans.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the Seven Springs Resorts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2021, we acquired the assets of the Seven Springs Resorts for a purchase price of approximately $118.3 million, after adjustments for certain agreed-upon terms, which was funded with cash on hand.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January 31, 2022, principal payments on the majority of our long-term debt ($2.7 billion of the total $2.8 billion debt outstanding as of January 31, 2022) are not due until fiscal year 2025 and beyond. As of January 31, 2022 and 2021, total long-term debt, net (including long-term debt due within one year) was $2.8 billion and $2.9 billion, respectively. Net Debt (defined as long-term debt, net plus long-term debt due within one year less cash and cash equivalents) decreased from $1.6 billion as of January 31, 2021 to $1.4 billion as of January 31, 2022.</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January 31, 2022, the Vail Holdings Credit Agreement provides for (i) a revolving loan facility in an aggregate principal amount of $500.0 million and (ii) a term loan facility of $1.1 billion. We expect that our liquidity needs in the near term will be met by continued use of cash on hand, operating cash flows and borrowings under the 6.25% Notes, the 0.0% Convertible Notes, the Vail Holdings Credit Agreement and the Whistler Credit Agreement.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exited the Financial Covenants Temporary Waiver Period under the Vail Holdings Credit Agreement effective October 31, 2021. As a result, we are required to comply with the financial maintenance covenants in the Vail Holdings Credit Agreement and we are no longer subject to the covenant modifications that were applicable during the temporary waiver period.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debt service requirements can be impacted by changing interest rates as we had approximately $0.8 billion of variable-rate debt outstanding as of January 31, 2022. A 100-basis point change in our borrowing rates would cause our annual interest payments to change by approximately $7.8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continue to respond to liquidity impacts of changes in the business and economic environment, including the effects of COVID-19, by managing our capital expenditures, variable operating expenses, the timing of new real estate development activity and the payment of cash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11, 2022, the Company’s Board of Directors approved a cash dividend of $1.91 per share payable on April 14, 2022 to stockholders of record as of March 30, 2022. Additionally, a Canadian dollar equivalent dividend on the Exchangeco Shares will be payable on April 14, 2022 to stockholders of record as of March 30, 2022. For the six months ended January 31, 2022, we paid cash dividends of $1.76 per share ($71.3 million in the aggregate, including cash dividends paid to Exchangeco shareholders). We funded the dividend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We did not repurchase any Vail Shares during the six months ended January 31, 2022 and 2021. Since inception of this stock repurchase program through January 31, 2022, we have repurchased 6,161,141 Vail Shares at a cost of approximately $404.4 million. As of January 31, 2022, 1,338,859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were in compliance with all restrictive financial covenants in our debt instruments as of January 31, 2022.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15" w:lineRule="exact"/>
        <w:rPr>
          <w:sz w:val="20"/>
          <w:szCs w:val="20"/>
          <w:color w:val="auto"/>
        </w:rPr>
      </w:pPr>
    </w:p>
    <w:p>
      <w:pPr>
        <w:jc w:val="both"/>
        <w:ind w:left="820" w:hanging="650"/>
        <w:spacing w:after="0" w:line="255" w:lineRule="auto"/>
        <w:tabs>
          <w:tab w:leader="none" w:pos="81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ultimate duration of COVID-19 and its short-term and long-term impacts on consumer behaviors, the economy generally, and our business and results of operations, including the ultimate amount of refunds that we would be required to refund to our pass product holders for qualifying circumstances under our Epic Coverage program;</w:t>
      </w:r>
    </w:p>
    <w:p>
      <w:pPr>
        <w:spacing w:after="0" w:line="2" w:lineRule="exact"/>
        <w:rPr>
          <w:rFonts w:ascii="Arial" w:cs="Arial" w:eastAsia="Arial" w:hAnsi="Arial"/>
          <w:sz w:val="18"/>
          <w:szCs w:val="18"/>
          <w:i w:val="1"/>
          <w:iCs w:val="1"/>
          <w:color w:val="auto"/>
        </w:rPr>
      </w:pPr>
    </w:p>
    <w:p>
      <w:pPr>
        <w:ind w:left="820" w:hanging="650"/>
        <w:spacing w:after="0" w:line="265" w:lineRule="auto"/>
        <w:tabs>
          <w:tab w:leader="none" w:pos="815"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the willingness of our guests to travel due to terrorism, the uncertainty of military conflicts or outbreaks of contagious diseases (such as the ongoing COVID-19 pandemic), and the cost and availability of travel options and changing consumer preferences or willingness to travel;</w:t>
      </w: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interruptions or disruptions of our information technology systems, data security or cyberattacks;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may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 or with other recreational and leisure activities;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line="250" w:lineRule="auto"/>
        <w:tabs>
          <w:tab w:leader="none" w:pos="81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 loss of key personnel and our ability to hire and retain a sufficient seasonal workforce;</w:t>
      </w:r>
    </w:p>
    <w:p>
      <w:pPr>
        <w:ind w:left="820" w:hanging="650"/>
        <w:spacing w:after="0" w:line="250" w:lineRule="auto"/>
        <w:tabs>
          <w:tab w:leader="none" w:pos="81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line="250" w:lineRule="auto"/>
        <w:tabs>
          <w:tab w:leader="none" w:pos="81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the Seven Springs Resorts;</w:t>
      </w: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1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 as compared to the U.S. dollar;</w:t>
      </w: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tax laws, regulations or interpretations, or adverse determinations by taxing authorities;</w:t>
      </w:r>
    </w:p>
    <w:p>
      <w:pPr>
        <w:spacing w:after="0" w:line="9" w:lineRule="exact"/>
        <w:rPr>
          <w:rFonts w:ascii="Arial" w:cs="Arial" w:eastAsia="Arial" w:hAnsi="Arial"/>
          <w:sz w:val="18"/>
          <w:szCs w:val="18"/>
          <w:i w:val="1"/>
          <w:iCs w:val="1"/>
          <w:color w:val="auto"/>
        </w:rPr>
      </w:pPr>
    </w:p>
    <w:p>
      <w:pPr>
        <w:jc w:val="both"/>
        <w:ind w:left="820" w:hanging="650"/>
        <w:spacing w:after="0" w:line="250" w:lineRule="auto"/>
        <w:tabs>
          <w:tab w:leader="none" w:pos="81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accounting principles, policies or guidelines.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1" w:name="page42"/>
    <w:bookmarkEnd w:id="41"/>
    <w:p>
      <w:pPr>
        <w:jc w:val="both"/>
        <w:spacing w:after="0" w:line="272" w:lineRule="auto"/>
        <w:rPr>
          <w:sz w:val="20"/>
          <w:szCs w:val="20"/>
          <w:color w:val="auto"/>
        </w:rPr>
      </w:pPr>
      <w:r>
        <w:rPr>
          <w:rFonts w:ascii="Arial" w:cs="Arial" w:eastAsia="Arial" w:hAnsi="Arial"/>
          <w:sz w:val="17"/>
          <w:szCs w:val="17"/>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and Part II, Item 1A “Risk Factors” of this Form 10-Q for the quarter ended January 31, 2022.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As</w:t>
      </w:r>
      <w:r>
        <w:rPr>
          <w:rFonts w:ascii="Arial" w:cs="Arial" w:eastAsia="Arial" w:hAnsi="Arial"/>
          <w:sz w:val="18"/>
          <w:szCs w:val="18"/>
          <w:i w:val="1"/>
          <w:iCs w:val="1"/>
          <w:color w:val="auto"/>
        </w:rPr>
        <w:t xml:space="preserve"> </w:t>
      </w:r>
      <w:r>
        <w:rPr>
          <w:rFonts w:ascii="Arial" w:cs="Arial" w:eastAsia="Arial" w:hAnsi="Arial"/>
          <w:sz w:val="18"/>
          <w:szCs w:val="18"/>
          <w:color w:val="auto"/>
        </w:rPr>
        <w:t>of January 31, 2022, we had approximately $0.8 billion of variable rate indebtedness (after taking into consideration $400.0 million in interest rate swaps which converts variable-rate debt to fixed-rate debt), representing approximately 28% of our total debt outstanding, at an average interest rate during both the three and six months ended January 31, 2022 of approximately 2.6%. Based on variable-rate borrowings outstanding as of January 31, 2022, a 100-basis point (or 1.0%) change in our borrowing rates would result in our annual interest payments changing by approximately $7.8 million. Our market risk exposure fluctuates based on changes in underlying interest rates.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and our Australian resorts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representing (losses) gains, and foreign currency (loss) gain on intercompany loans recognized in comprehensive income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Six Months Ended January 31,</w:t>
            </w:r>
          </w:p>
        </w:tc>
      </w:tr>
      <w:tr>
        <w:trPr>
          <w:trHeight w:val="187"/>
        </w:trPr>
        <w:tc>
          <w:tcPr>
            <w:tcW w:w="7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77,257</w:t>
            </w:r>
          </w:p>
        </w:tc>
      </w:tr>
      <w:tr>
        <w:trPr>
          <w:trHeight w:val="230"/>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(loss) gain on intercompany loans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the Company’s internal control over financial reporting that occurred during the three and six months ended January 31, 2022 that have materially affected, or are reasonably likely to materially affect, the Company’s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information set forth elsewhere in this Form 10-Q, you should carefully consider the factors we previously disclosed in our Annual Report on Form 10-K, filed with the SEC on September 23, 2021, as of and for the year ended July 31, 2021, in addition to the risk factors set forth below, which replace and/or update risk factors we have previously disclosed. These risks could materially and adversely affect our business, financial condition and results of operations.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train, reward and retain adequate team members and determine and maintain adequate staffing, including our seasonal workforce, which may impact our ability to achieve our operating, growth and financial objectives.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long-term growth and profitability depend partially on our ability to recruit and retain high-quality employees to work in and manage our Resorts. Adequate staffing and retention of qualified employees is a critical factor affecting our guests’ experiences in our Resorts. In addition, our mountain and lodging operations are highly dependent on a large seasonal workforce. Maintaining adequate staffing is complicated and unpredictable due to the impacts of the COVID-19 pandemic and the constrained labor market. For example, in December 2021 and January 2022, daily exclusions of COVID-symptomatic employees reduced our total workforce and significantly increased volatility in our staffing levels, resulting in the temporary closure of some ski lifts and dining facilities at certain Resorts. The market for the most qualified talent continues to be highly competitive and we must provide competitive wages, benefits and workplace conditions to attract and retain the most qualified employees, particularly during a time when we have seen significant wage inflation in the market for employees. In addition, in many communities, the supply of resort-area housing is constrained due to market conditions, making it difficult for our employees to obtain available, affordable housing. Further, zoning regulations, protracted approval processes, and local anti-development sentiment can prevent or substantially delay new housing projects that we or other parties may pursue to meet the demand for new affordable housing stock.</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immigration laws could also impact our workforce because we typically recruit and hire foreign nationals as part of our seasonal workforce. For example, due in part to certain federal vaccination requirements for foreign workers and embassy closures as a result of COVID-19, we were unable to hire the number of foreign workers we anticipated for the 2021/2022 season. A shortage of international workers, failure to adequately recruit and retain new domestic employees, higher than expected attrition levels, or increased wages all could affect our ability to open and operate parts of our Resorts, deliver guest service at traditional margins or achieve our labor cost objectives.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our workforce, including increased labor costs.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various federal, state and foreign laws governing matters such as minimum wage requirements, sick leave pay, overtime compensation and other working conditions, work authorization requirements, discrimination and family and medical leave. Cost of labor and labor-related benefits are primary components in the cost of our operations. Labor shortages, affordable employee housing shortages, increased employee turnover, and health care mandates can increase our labor costs. We are subject to mandated minimum wage rates and also experience market-driven pressures to pay wages even higher than mandated minimum wages. This can result in increases not only to the wages of our minimum wage employees but also to the wages paid to employees at wage rates that are above the minimum wage. During Fiscal 2021, we implemented minimum wage increases across many of our Resorts, and in January 2022 we announced a new end of season bonus program of $2 per hour for all hours worked by qualifying employees during the applicable time period. From time to time, we have experienced non-union employees attempting to unionize. While only a very small portion of our employees are unionized at present, we may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experience additional union activity in the future, which could lead to disruptions in our business, increases in our operating costs and/or constraints on our operating flexibility. These potential labor impacts could adversely impact our results of operations.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We have recently acquired the Seven Springs Resorts, which were not subject to rules and regulations promulgated under the Sarbanes-Oxley Act of 2002, as amended (“Sarbanes-Oxley”), and they may therefore lack the internal controls that would be required of a U.S. public company, which could ultimately affect our ability to ensure compliance with the requirements of Section 404 of Sarbanes-Oxley</w:t>
      </w:r>
      <w:r>
        <w:rPr>
          <w:rFonts w:ascii="Arial" w:cs="Arial" w:eastAsia="Arial" w:hAnsi="Arial"/>
          <w:sz w:val="17"/>
          <w:szCs w:val="17"/>
          <w:b w:val="1"/>
          <w:bCs w:val="1"/>
          <w:i w:val="1"/>
          <w:iCs w:val="1"/>
          <w:color w:val="auto"/>
        </w:rPr>
        <w:t>.</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recently acquired the Seven Springs Resorts, which were not previously subject to the rules and regulations promulgated under Sarbanes-Oxley and accordingly were not required to establish and maintain an internal control infrastructure meeting the standards promulgated under Sarbanes-Oxley. Our assessment of and conclusion on the effectiveness of our internal control over financial reporting as of January 31, 2022 did not include certain elements of the internal controls of the Seven Springs Resorts, which were acquired on December 31, 2021.</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Although our management will continue to review and evaluate the effectiveness of our internal controls in light of this acquisition, we cannot provide any assurances that there will be no significant deficiencies or material weaknesses in our internal control over financial reporting. Any significant deficiencies or material weaknesses in the internal control structure of our acquired businesses may cause significant deficiencies or material weaknesses in our internal control over financial reporting, which could have a material adverse effect on our business and our ability to comply with Section 404 of Sarbanes-Oxley.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January 31, 2022, 32,528 Exchangeco Shares had not yet been exchanged into Vail Shares.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880" w:type="dxa"/>
            <w:vAlign w:val="bottom"/>
          </w:tcPr>
          <w:p>
            <w:pPr>
              <w:spacing w:after="0"/>
              <w:rPr>
                <w:sz w:val="14"/>
                <w:szCs w:val="14"/>
                <w:color w:val="auto"/>
              </w:rPr>
            </w:pPr>
          </w:p>
        </w:tc>
        <w:tc>
          <w:tcPr>
            <w:tcW w:w="6040" w:type="dxa"/>
            <w:vAlign w:val="bottom"/>
            <w:gridSpan w:val="5"/>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880" w:type="dxa"/>
            <w:vAlign w:val="bottom"/>
          </w:tcPr>
          <w:p>
            <w:pPr>
              <w:spacing w:after="0"/>
              <w:rPr>
                <w:sz w:val="16"/>
                <w:szCs w:val="16"/>
                <w:color w:val="auto"/>
              </w:rPr>
            </w:pPr>
          </w:p>
        </w:tc>
        <w:tc>
          <w:tcPr>
            <w:tcW w:w="60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9920" w:type="dxa"/>
            <w:vAlign w:val="bottom"/>
            <w:gridSpan w:val="6"/>
          </w:tcPr>
          <w:p>
            <w:pP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Sixth Amending Agreement, dated as of December 6, 2021, among Whistler Mountain Resort Limited Partnership and Blackcomb</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900" w:type="dxa"/>
            <w:vAlign w:val="bottom"/>
            <w:tcBorders>
              <w:top w:val="single" w:sz="8" w:color="0000FF"/>
            </w:tcBorders>
            <w:gridSpan w:val="5"/>
          </w:tcPr>
          <w:p>
            <w:pPr>
              <w:spacing w:after="0" w:line="156" w:lineRule="exact"/>
              <w:rPr>
                <w:rFonts w:ascii="Arial" w:cs="Arial" w:eastAsia="Arial" w:hAnsi="Arial"/>
                <w:sz w:val="18"/>
                <w:szCs w:val="18"/>
                <w:color w:val="0000FF"/>
                <w:w w:val="92"/>
              </w:rPr>
            </w:pPr>
            <w:hyperlink w:anchor="page47">
              <w:r>
                <w:rPr>
                  <w:rFonts w:ascii="Arial" w:cs="Arial" w:eastAsia="Arial" w:hAnsi="Arial"/>
                  <w:sz w:val="18"/>
                  <w:szCs w:val="18"/>
                  <w:color w:val="0000FF"/>
                  <w:w w:val="92"/>
                </w:rPr>
                <w:t>Skiing Enterprises Limited Partnership, as borrowers, the Guarantors Party thereto, and The Toronto-Dominion Bank, as administrative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38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agent, on its own behalf and on behalf of the Lenders.</w:t>
              </w:r>
            </w:hyperlink>
          </w:p>
        </w:tc>
        <w:tc>
          <w:tcPr>
            <w:tcW w:w="600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9920" w:type="dxa"/>
            <w:vAlign w:val="bottom"/>
            <w:gridSpan w:val="6"/>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69">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22"/>
                <w:szCs w:val="22"/>
                <w:color w:val="auto"/>
              </w:rPr>
            </w:pPr>
          </w:p>
        </w:tc>
        <w:tc>
          <w:tcPr>
            <w:tcW w:w="27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340" w:hanging="1314"/>
        <w:spacing w:after="0" w:line="235" w:lineRule="auto"/>
        <w:tabs>
          <w:tab w:leader="none" w:pos="1340" w:val="left"/>
        </w:tabs>
        <w:numPr>
          <w:ilvl w:val="0"/>
          <w:numId w:val="23"/>
        </w:numPr>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70">
        <w:r>
          <w:rPr>
            <w:rFonts w:ascii="Arial" w:cs="Arial" w:eastAsia="Arial" w:hAnsi="Arial"/>
            <w:sz w:val="18"/>
            <w:szCs w:val="18"/>
            <w:u w:val="single" w:color="auto"/>
            <w:color w:val="0000FF"/>
          </w:rPr>
          <w:t>906 of the Sarbanes-Oxley Act of 2002.</w:t>
        </w:r>
      </w:hyperlink>
    </w:p>
    <w:p>
      <w:pPr>
        <w:spacing w:after="0" w:line="23"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3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as its XBRL tags are embedded within the</w:t>
            </w:r>
          </w:p>
        </w:tc>
      </w:tr>
      <w:tr>
        <w:trPr>
          <w:trHeight w:val="230"/>
        </w:trPr>
        <w:tc>
          <w:tcPr>
            <w:tcW w:w="1000" w:type="dxa"/>
            <w:vAlign w:val="bottom"/>
          </w:tcPr>
          <w:p>
            <w:pPr>
              <w:spacing w:after="0"/>
              <w:rPr>
                <w:sz w:val="20"/>
                <w:szCs w:val="20"/>
                <w:color w:val="auto"/>
              </w:rPr>
            </w:pPr>
          </w:p>
        </w:tc>
        <w:tc>
          <w:tcPr>
            <w:tcW w:w="10200" w:type="dxa"/>
            <w:vAlign w:val="bottom"/>
          </w:tcPr>
          <w:p>
            <w:pPr>
              <w:ind w:left="320"/>
              <w:spacing w:after="0"/>
              <w:rPr>
                <w:sz w:val="20"/>
                <w:szCs w:val="20"/>
                <w:color w:val="auto"/>
              </w:rPr>
            </w:pPr>
            <w:r>
              <w:rPr>
                <w:rFonts w:ascii="Arial" w:cs="Arial" w:eastAsia="Arial" w:hAnsi="Arial"/>
                <w:sz w:val="18"/>
                <w:szCs w:val="18"/>
                <w:color w:val="auto"/>
              </w:rPr>
              <w:t>inline XBRL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Schema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Calculation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Definition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Label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rFonts w:ascii="Arial" w:cs="Arial" w:eastAsia="Arial" w:hAnsi="Arial"/>
          <w:sz w:val="18"/>
          <w:szCs w:val="18"/>
          <w:color w:val="auto"/>
        </w:rPr>
      </w:pPr>
    </w:p>
    <w:p>
      <w:pPr>
        <w:ind w:left="1340" w:hanging="1314"/>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499"/>
        </w:trPr>
        <w:tc>
          <w:tcPr>
            <w:tcW w:w="3540" w:type="dxa"/>
            <w:vAlign w:val="bottom"/>
          </w:tcPr>
          <w:p>
            <w:pPr>
              <w:spacing w:after="0"/>
              <w:rPr>
                <w:sz w:val="20"/>
                <w:szCs w:val="20"/>
                <w:color w:val="auto"/>
              </w:rPr>
            </w:pPr>
            <w:r>
              <w:rPr>
                <w:rFonts w:ascii="Arial" w:cs="Arial" w:eastAsia="Arial" w:hAnsi="Arial"/>
                <w:sz w:val="18"/>
                <w:szCs w:val="18"/>
                <w:color w:val="auto"/>
              </w:rPr>
              <w:t>Date: March 14, 2022</w:t>
            </w: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Z. Barkin</w:t>
            </w:r>
          </w:p>
        </w:tc>
      </w:tr>
      <w:tr>
        <w:trPr>
          <w:trHeight w:val="222"/>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Michael Z. Barkin</w:t>
            </w:r>
          </w:p>
        </w:tc>
      </w:tr>
      <w:tr>
        <w:trPr>
          <w:trHeight w:val="230"/>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99"/>
        </w:trPr>
        <w:tc>
          <w:tcPr>
            <w:tcW w:w="3540" w:type="dxa"/>
            <w:vAlign w:val="bottom"/>
          </w:tcPr>
          <w:p>
            <w:pPr>
              <w:spacing w:after="0"/>
              <w:rPr>
                <w:sz w:val="20"/>
                <w:szCs w:val="20"/>
                <w:color w:val="auto"/>
              </w:rPr>
            </w:pPr>
            <w:r>
              <w:rPr>
                <w:rFonts w:ascii="Arial" w:cs="Arial" w:eastAsia="Arial" w:hAnsi="Arial"/>
                <w:sz w:val="18"/>
                <w:szCs w:val="18"/>
                <w:color w:val="auto"/>
              </w:rPr>
              <w:t>Date: March 14, 2022</w:t>
            </w: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Nathan Gronberg</w:t>
            </w:r>
          </w:p>
        </w:tc>
      </w:tr>
      <w:tr>
        <w:trPr>
          <w:trHeight w:val="222"/>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Nathan Gronberg</w:t>
            </w:r>
          </w:p>
        </w:tc>
      </w:tr>
      <w:tr>
        <w:trPr>
          <w:trHeight w:val="176"/>
        </w:trPr>
        <w:tc>
          <w:tcPr>
            <w:tcW w:w="35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820" w:type="dxa"/>
            <w:vAlign w:val="bottom"/>
          </w:tcPr>
          <w:p>
            <w:pPr>
              <w:ind w:left="1300"/>
              <w:spacing w:after="0" w:line="176" w:lineRule="exact"/>
              <w:rPr>
                <w:sz w:val="20"/>
                <w:szCs w:val="20"/>
                <w:color w:val="auto"/>
              </w:rPr>
            </w:pPr>
            <w:r>
              <w:rPr>
                <w:rFonts w:ascii="Arial" w:cs="Arial" w:eastAsia="Arial" w:hAnsi="Arial"/>
                <w:sz w:val="18"/>
                <w:szCs w:val="18"/>
                <w:color w:val="auto"/>
              </w:rPr>
              <w:t>Vice President, Controller and</w:t>
            </w:r>
          </w:p>
        </w:tc>
      </w:tr>
      <w:tr>
        <w:trPr>
          <w:trHeight w:val="229"/>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30"/>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891"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AMENDING AGREEMENT</w:t>
      </w:r>
    </w:p>
    <w:p>
      <w:pPr>
        <w:spacing w:after="0" w:line="225"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b w:val="1"/>
          <w:bCs w:val="1"/>
          <w:color w:val="auto"/>
        </w:rPr>
        <w:t xml:space="preserve">THIS SIXTH AMENDING AGREEMENT AND WAIVER </w:t>
      </w:r>
      <w:r>
        <w:rPr>
          <w:rFonts w:ascii="Arial" w:cs="Arial" w:eastAsia="Arial" w:hAnsi="Arial"/>
          <w:sz w:val="16"/>
          <w:szCs w:val="16"/>
          <w:color w:val="auto"/>
        </w:rPr>
        <w:t>(the “</w:t>
      </w:r>
      <w:r>
        <w:rPr>
          <w:rFonts w:ascii="Arial" w:cs="Arial" w:eastAsia="Arial" w:hAnsi="Arial"/>
          <w:sz w:val="16"/>
          <w:szCs w:val="16"/>
          <w:b w:val="1"/>
          <w:bCs w:val="1"/>
          <w:color w:val="auto"/>
        </w:rPr>
        <w:t>Agreement</w:t>
      </w:r>
      <w:r>
        <w:rPr>
          <w:rFonts w:ascii="Arial" w:cs="Arial" w:eastAsia="Arial" w:hAnsi="Arial"/>
          <w:sz w:val="16"/>
          <w:szCs w:val="16"/>
          <w:color w:val="auto"/>
        </w:rPr>
        <w:t>”) is dated as of December 6, 2021 and is entered into</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Whistler Mountain Resort Limited Partnership (“</w:t>
      </w:r>
      <w:r>
        <w:rPr>
          <w:rFonts w:ascii="Arial" w:cs="Arial" w:eastAsia="Arial" w:hAnsi="Arial"/>
          <w:sz w:val="16"/>
          <w:szCs w:val="16"/>
          <w:b w:val="1"/>
          <w:bCs w:val="1"/>
          <w:color w:val="auto"/>
        </w:rPr>
        <w:t>Whistler LP</w:t>
      </w:r>
      <w:r>
        <w:rPr>
          <w:rFonts w:ascii="Arial" w:cs="Arial" w:eastAsia="Arial" w:hAnsi="Arial"/>
          <w:sz w:val="16"/>
          <w:szCs w:val="16"/>
          <w:color w:val="auto"/>
        </w:rPr>
        <w:t>”), by its general partner, Whistler Blackcomb Holdings Inc. (the “</w:t>
      </w:r>
      <w:r>
        <w:rPr>
          <w:rFonts w:ascii="Arial" w:cs="Arial" w:eastAsia="Arial" w:hAnsi="Arial"/>
          <w:sz w:val="16"/>
          <w:szCs w:val="16"/>
          <w:b w:val="1"/>
          <w:bCs w:val="1"/>
          <w:color w:val="auto"/>
        </w:rPr>
        <w:t>Parent GP</w:t>
      </w:r>
      <w:r>
        <w:rPr>
          <w:rFonts w:ascii="Arial" w:cs="Arial" w:eastAsia="Arial" w:hAnsi="Arial"/>
          <w:sz w:val="16"/>
          <w:szCs w:val="16"/>
          <w:color w:val="auto"/>
        </w:rPr>
        <w:t>”), and Blackcomb Skiing Enterprises Limited Partnership (“Blackcomb LP” and together with Whistler LP, the “</w:t>
      </w:r>
      <w:r>
        <w:rPr>
          <w:rFonts w:ascii="Arial" w:cs="Arial" w:eastAsia="Arial" w:hAnsi="Arial"/>
          <w:sz w:val="16"/>
          <w:szCs w:val="16"/>
          <w:b w:val="1"/>
          <w:bCs w:val="1"/>
          <w:color w:val="auto"/>
        </w:rPr>
        <w:t>Borrowers</w:t>
      </w:r>
      <w:r>
        <w:rPr>
          <w:rFonts w:ascii="Arial" w:cs="Arial" w:eastAsia="Arial" w:hAnsi="Arial"/>
          <w:sz w:val="16"/>
          <w:szCs w:val="16"/>
          <w:color w:val="auto"/>
        </w:rPr>
        <w:t>”), by its general partner, Parent GP, the guarantors party hereto, each of the lenders party hereto, and The Toronto-Dominion Bank, as administrative agent (the “</w:t>
      </w:r>
      <w:r>
        <w:rPr>
          <w:rFonts w:ascii="Arial" w:cs="Arial" w:eastAsia="Arial" w:hAnsi="Arial"/>
          <w:sz w:val="16"/>
          <w:szCs w:val="16"/>
          <w:b w:val="1"/>
          <w:bCs w:val="1"/>
          <w:color w:val="auto"/>
        </w:rPr>
        <w:t>Administrative Agent</w:t>
      </w:r>
      <w:r>
        <w:rPr>
          <w:rFonts w:ascii="Arial" w:cs="Arial" w:eastAsia="Arial" w:hAnsi="Arial"/>
          <w:sz w:val="16"/>
          <w:szCs w:val="16"/>
          <w:color w:val="auto"/>
        </w:rPr>
        <w:t>”);</w:t>
      </w:r>
    </w:p>
    <w:p>
      <w:pPr>
        <w:spacing w:after="0" w:line="15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Borrowers, the lenders from time to time party thereto (the “</w:t>
      </w:r>
      <w:r>
        <w:rPr>
          <w:rFonts w:ascii="Arial" w:cs="Arial" w:eastAsia="Arial" w:hAnsi="Arial"/>
          <w:sz w:val="18"/>
          <w:szCs w:val="18"/>
          <w:b w:val="1"/>
          <w:bCs w:val="1"/>
          <w:color w:val="auto"/>
        </w:rPr>
        <w:t>Lenders</w:t>
      </w:r>
      <w:r>
        <w:rPr>
          <w:rFonts w:ascii="Arial" w:cs="Arial" w:eastAsia="Arial" w:hAnsi="Arial"/>
          <w:sz w:val="18"/>
          <w:szCs w:val="18"/>
          <w:color w:val="auto"/>
        </w:rPr>
        <w:t>”), the guarantors from time to time party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Guarantors</w:t>
      </w:r>
      <w:r>
        <w:rPr>
          <w:rFonts w:ascii="Arial" w:cs="Arial" w:eastAsia="Arial" w:hAnsi="Arial"/>
          <w:sz w:val="18"/>
          <w:szCs w:val="18"/>
          <w:color w:val="auto"/>
        </w:rPr>
        <w:t>”) and the Administrative Agent are parties to an Amended and Restated Credit Agreement dated as of November 12, 2013, as amended by a First Amending Agreement dated as of October 30, 2014, a Second Amending Agreement and Waiver dated as of October 14, 2016, a Third Amending Agreement dated as of February 13, 2017, a Fourth Amending Agreement dated as of November 30, 2018 and a Fifth Amending Agreement dated as of November 21, 2019 (as amended, restated, amended and restated, supplemented, extended or otherwise modified to but excluding the date hereof,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the Borrowers have submitted an extension request (the “</w:t>
      </w:r>
      <w:r>
        <w:rPr>
          <w:rFonts w:ascii="Arial" w:cs="Arial" w:eastAsia="Arial" w:hAnsi="Arial"/>
          <w:sz w:val="18"/>
          <w:szCs w:val="18"/>
          <w:b w:val="1"/>
          <w:bCs w:val="1"/>
          <w:color w:val="auto"/>
        </w:rPr>
        <w:t>Extension Request</w:t>
      </w:r>
      <w:r>
        <w:rPr>
          <w:rFonts w:ascii="Arial" w:cs="Arial" w:eastAsia="Arial" w:hAnsi="Arial"/>
          <w:sz w:val="18"/>
          <w:szCs w:val="18"/>
          <w:color w:val="auto"/>
        </w:rPr>
        <w:t>”) to extend the Maturity Date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to December 15, 2026;</w:t>
      </w:r>
    </w:p>
    <w:p>
      <w:pPr>
        <w:spacing w:after="0" w:line="162"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 xml:space="preserve">AND WHERAS </w:t>
      </w:r>
      <w:r>
        <w:rPr>
          <w:rFonts w:ascii="Arial" w:cs="Arial" w:eastAsia="Arial" w:hAnsi="Arial"/>
          <w:sz w:val="18"/>
          <w:szCs w:val="18"/>
          <w:color w:val="auto"/>
        </w:rPr>
        <w:t>the Borrowers have requested that the financial reporting requirements of the Credit Agreement be amended to more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accurately reflect the reporting that is actually being delivered by them under the Credit Agreement, and that the Lenders waive any past discrepancies between the reporting as so delivered and the existing requirements of the Credit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the Lenders have agreed to consent to the Extension Request and to the financial reporting amendments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waiver, subject to the updating of certain provisions of the Credit Agreement (including the treatment of leases having regard to IFRS 16, availment options and interest rate definitions, LIBOR replacement, erroneous payment provisions and the additions of FATCA references) and the other terms and conditions contained herein;</w:t>
      </w:r>
    </w:p>
    <w:p>
      <w:pPr>
        <w:spacing w:after="0" w:line="18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parties hereto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Capitalized terms used in this Agreement and not otherwise defined herein shall have the meanings ascribed to them in the Credit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CREDIT AGREEMENT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Subject to the satisfaction of each of the conditions set forth in this Agreement, and in reliance on the representations, warranties and agreements contained in this Agreement, the Credit Agreement is hereby amended as follows: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Definition of Administrative Agent's Account Branch of Account</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Section 1.01 of the Credit Agreement is hereby amended by deleting the definition of “Administrative Agent’s Branch of Account” in its entirety and replacing it with the following:</w:t>
      </w:r>
    </w:p>
    <w:p>
      <w:pPr>
        <w:sectPr>
          <w:pgSz w:w="11900" w:h="16838" w:orient="portrait"/>
          <w:cols w:equalWidth="0" w:num="1">
            <w:col w:w="11240"/>
          </w:cols>
          <w:pgMar w:left="320" w:top="1417" w:right="339" w:bottom="1440" w:gutter="0" w:footer="0" w:header="0"/>
        </w:sectPr>
      </w:pPr>
    </w:p>
    <w:bookmarkStart w:id="47" w:name="page48"/>
    <w:bookmarkEnd w:id="47"/>
    <w:p>
      <w:pPr>
        <w:jc w:val="both"/>
        <w:ind w:left="1300" w:right="13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Administrative Agent’s Branch of Account</w:t>
      </w:r>
      <w:r>
        <w:rPr>
          <w:rFonts w:ascii="Arial" w:cs="Arial" w:eastAsia="Arial" w:hAnsi="Arial"/>
          <w:sz w:val="16"/>
          <w:szCs w:val="16"/>
          <w:color w:val="auto"/>
        </w:rPr>
        <w:t>” means the office of the Administrative Agent located at TD North Tower, 77 King Street West, 26th Floor, Toronto, Ontario, M5K 1A2, or other office or branch of the Administrative Agent in Canada as the Administrative Agent may from time to time advise the Borrowers and the Lenders in writing.”</w:t>
      </w:r>
    </w:p>
    <w:p>
      <w:pPr>
        <w:spacing w:after="0" w:line="1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Definition of Annual Business Plan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1.01 of the Credit Agreement is hereby amended by deleting in the definition of “Annual Business Plan” the phrase “and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Quarter therein” and replacing it with the following:</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the following Fiscal Year”.</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Definition of BA Discount Rate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definition of “BA Discount Rate” in Section 1.01 of the Credit Agreement is hereby amended as follows:</w:t>
      </w:r>
    </w:p>
    <w:p>
      <w:pPr>
        <w:spacing w:after="0" w:line="17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by deleting the phrase “Reuters Screen CDOR Page” and replacing it with the following:</w:t>
      </w:r>
    </w:p>
    <w:p>
      <w:pPr>
        <w:spacing w:after="0" w:line="171" w:lineRule="exact"/>
        <w:rPr>
          <w:sz w:val="20"/>
          <w:szCs w:val="20"/>
          <w:color w:val="auto"/>
        </w:rPr>
      </w:pPr>
    </w:p>
    <w:p>
      <w:pPr>
        <w:ind w:left="660" w:right="3300" w:firstLine="648"/>
        <w:spacing w:after="0" w:line="438" w:lineRule="auto"/>
        <w:rPr>
          <w:sz w:val="20"/>
          <w:szCs w:val="20"/>
          <w:color w:val="auto"/>
        </w:rPr>
      </w:pPr>
      <w:r>
        <w:rPr>
          <w:rFonts w:ascii="Arial" w:cs="Arial" w:eastAsia="Arial" w:hAnsi="Arial"/>
          <w:sz w:val="18"/>
          <w:szCs w:val="18"/>
          <w:color w:val="auto"/>
        </w:rPr>
        <w:t>“Refinitiv Benchmark Services (UK) Limited Canadian Dollar Offered Rate (CDOR) Page” 2.3.2 by adding the following at the end of the definition:</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greater certainty, if the rate as so determined is less than zero, it shall be deemed to be 0%”.</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Definition of Canadian Prime Rate</w:t>
      </w:r>
    </w:p>
    <w:p>
      <w:pPr>
        <w:spacing w:after="0" w:line="17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Section 1.01 of the Credit Agreement is hereby amended by deleting the definition of "Canadian Prime Rate" in its entirety and replacing it with the following:</w:t>
      </w:r>
    </w:p>
    <w:p>
      <w:pPr>
        <w:spacing w:after="0" w:line="112" w:lineRule="exact"/>
        <w:rPr>
          <w:sz w:val="20"/>
          <w:szCs w:val="20"/>
          <w:color w:val="auto"/>
        </w:rPr>
      </w:pPr>
    </w:p>
    <w:p>
      <w:pPr>
        <w:jc w:val="both"/>
        <w:ind w:left="660" w:right="6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Prime Rate</w:t>
      </w:r>
      <w:r>
        <w:rPr>
          <w:rFonts w:ascii="Arial" w:cs="Arial" w:eastAsia="Arial" w:hAnsi="Arial"/>
          <w:sz w:val="18"/>
          <w:szCs w:val="18"/>
          <w:color w:val="auto"/>
        </w:rPr>
        <w:t>” means, at any point in time, the rate of interest per annum equal to the greater of (i) the rate which the principal office of the Administrative Agent in Toronto, Ontario then quotes, publishes and refers to as its “prime rate” and which is its reference rate of interest for loans in Canadian Dollars made in Canada to commercial borrowers; and (ii) the average rate for Canadian Dollar bankers’ acceptances having a term of one month that appears on the Refinitiv Benchmark Services (UK) Limited Canadian Dollar Offered Rate (CDOR) Page (or such other page as is a replacement page for such banker’s acceptances) at approximately 10:15 a.m. (Toronto time) (which shall be deemed to be zero if such rate is less than zero) on such day, plus 1.0% per annum, adjusted automatically with each quoted, published or displayed change in such rate, all without necessity of any notice to the Borrowers or any other Person.”</w:t>
      </w:r>
    </w:p>
    <w:p>
      <w:pPr>
        <w:spacing w:after="0" w:line="1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Definition of Capital Lease Obligation</w:t>
      </w:r>
    </w:p>
    <w:p>
      <w:pPr>
        <w:spacing w:after="0" w:line="17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definition of “Capital Lease Obligation” in Section 1.01 of the Credit Agreement is hereby amended by adding the following after the word “GAAP”:</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it existed prior to the implementation of IFRS 16)”</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Definition of Consolidated Depreciation and Amortization Expense</w:t>
      </w:r>
    </w:p>
    <w:p>
      <w:pPr>
        <w:spacing w:after="0" w:line="17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The definition of “Consolidated Depreciation and Amortization Expense” in Section 1.01 of the Credit Agreement is hereby amended by adding the following after the word “GAAP”:</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it existed prior to the implementation of IFRS 16)”</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Definition of Consolidated Interest Expense</w:t>
      </w:r>
    </w:p>
    <w:p>
      <w:pPr>
        <w:sectPr>
          <w:pgSz w:w="11900" w:h="16838" w:orient="portrait"/>
          <w:cols w:equalWidth="0" w:num="1">
            <w:col w:w="11240"/>
          </w:cols>
          <w:pgMar w:left="320" w:top="1417" w:right="339" w:bottom="1440" w:gutter="0" w:footer="0" w:header="0"/>
        </w:sectPr>
      </w:pPr>
    </w:p>
    <w:bookmarkStart w:id="48" w:name="page49"/>
    <w:bookmarkEnd w:id="48"/>
    <w:p>
      <w:pPr>
        <w:ind w:firstLine="1296"/>
        <w:spacing w:after="0" w:line="277" w:lineRule="auto"/>
        <w:rPr>
          <w:sz w:val="20"/>
          <w:szCs w:val="20"/>
          <w:color w:val="auto"/>
        </w:rPr>
      </w:pPr>
      <w:r>
        <w:rPr>
          <w:rFonts w:ascii="Arial" w:cs="Arial" w:eastAsia="Arial" w:hAnsi="Arial"/>
          <w:sz w:val="18"/>
          <w:szCs w:val="18"/>
          <w:color w:val="auto"/>
        </w:rPr>
        <w:t>The definition of “Consolidated Interest Expense” in Section 1.01 of the Credit Agreement is hereby amended by adding the following after the first instance of the word “GAAP”:</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it existed prior to the implementation of IFRS 16)”</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Definition of Excluded Taxes</w:t>
      </w:r>
    </w:p>
    <w:p>
      <w:pPr>
        <w:spacing w:after="0" w:line="17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definition of “Excluded Taxes” in Section 1.01 of the Credit Agreement is hereby amended by adding the following at the end of such definition, before the “.”:</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(g) any U.S. federal withholding Taxes imposed under FATCA”</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Definition of GAAP</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definition of “GAAP” in Section 1.01 of the Credit Agreement is hereby amended by adding the following at the end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definition:</w:t>
      </w:r>
    </w:p>
    <w:p>
      <w:pPr>
        <w:spacing w:after="0" w:line="157" w:lineRule="exact"/>
        <w:rPr>
          <w:sz w:val="20"/>
          <w:szCs w:val="20"/>
          <w:color w:val="auto"/>
        </w:rPr>
      </w:pPr>
    </w:p>
    <w:p>
      <w:pPr>
        <w:jc w:val="both"/>
        <w:ind w:left="1300" w:right="1300"/>
        <w:spacing w:after="0" w:line="257" w:lineRule="auto"/>
        <w:rPr>
          <w:sz w:val="20"/>
          <w:szCs w:val="20"/>
          <w:color w:val="auto"/>
        </w:rPr>
      </w:pPr>
      <w:r>
        <w:rPr>
          <w:rFonts w:ascii="Arial" w:cs="Arial" w:eastAsia="Arial" w:hAnsi="Arial"/>
          <w:sz w:val="18"/>
          <w:szCs w:val="18"/>
          <w:color w:val="auto"/>
        </w:rPr>
        <w:t>“Notwithstanding the foregoing, the parties hereto agree that (i) for purposes of the determination of lease obligations of the Loan Parties hereunder, such determination shall be made without regard to any changes to GAAP resulting from the adoption of IFRS 16, and (ii) the Borrowers shall not be required to furnish to the Administrative Agent and the Lenders a reconciliation between the calculation of the financial covenants or other requirements made before and giving after effect to the adoption of IFRS 16.”</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Definition of Interest Period</w:t>
      </w:r>
    </w:p>
    <w:p>
      <w:pPr>
        <w:spacing w:after="0" w:line="17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definition of “Interest Period” in Section 1.01 of the Credit Agreement is hereby amended by deleting the phrase “1, 2 or 3 months” and replacing it with the following:</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or 3 months”.</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Definition of LIBOR Rate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1.01 of the Credit Agreement is hereby amended by deleting the definition of “LIBOR Rate” in its entirety and replacing it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w:t>
      </w:r>
    </w:p>
    <w:p>
      <w:pPr>
        <w:spacing w:after="0" w:line="153" w:lineRule="exact"/>
        <w:rPr>
          <w:sz w:val="20"/>
          <w:szCs w:val="20"/>
          <w:color w:val="auto"/>
        </w:rPr>
      </w:pPr>
    </w:p>
    <w:p>
      <w:pPr>
        <w:jc w:val="both"/>
        <w:ind w:left="660" w:right="6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Rate</w:t>
      </w:r>
      <w:r>
        <w:rPr>
          <w:rFonts w:ascii="Arial" w:cs="Arial" w:eastAsia="Arial" w:hAnsi="Arial"/>
          <w:sz w:val="17"/>
          <w:szCs w:val="17"/>
          <w:color w:val="auto"/>
        </w:rPr>
        <w:t>” means for any Interest Period, the rate per annum determined by the Administrative Agent at approximately 11:00 a.m. (London time), on the date that is two (2) Business Days prior to the commencement of such Interest Period by reference to the rate set by ICE Benchmark Administration (or any display substituted therefor or any successor thereto) for deposits in U.S. Dollars (as set forth by any service selected by the Administrative Agent that has been nominated by ICE Benchmark Administration (or any display substituted therefor or any successor thereto) as an authorized information vendor for the purpose of displaying such rates) for a period equal to such Interest Period and in an amount comparable to the amount of the LIBOR Advance to be outstanding during such Interest Period; provided, however, that, to the extent that an interest rate is not ascertainable pursuant to the foregoing provisions of this definition, the “LIBOR Rate” shall be the interest rate per annum determined by the Administrative Agent to be the average of the rates per annum at which deposits in U.S. Dollars are offered for such relevant Interest Period to major banks in the London interbank market in London, England by the Administrative Agent at approximately 11:00 a.m. (London time) on the date that is two (2) Business Days prior to the beginning of such Interest Period for a period comparable to the Interest Period and in an amount comparable to the amount of the LIBOR Advance to be outstanding during such Interest Period. If the LIBOR Rate as so determined is less than zero, it shall be deemed to be 0%.”</w:t>
      </w:r>
    </w:p>
    <w:p>
      <w:pPr>
        <w:sectPr>
          <w:pgSz w:w="11900" w:h="16838" w:orient="portrait"/>
          <w:cols w:equalWidth="0" w:num="1">
            <w:col w:w="11240"/>
          </w:cols>
          <w:pgMar w:left="320" w:top="1421" w:right="339" w:bottom="1440" w:gutter="0" w:footer="0" w:header="0"/>
        </w:sectPr>
      </w:pPr>
    </w:p>
    <w:bookmarkStart w:id="49" w:name="page50"/>
    <w:bookmarkEnd w:id="49"/>
    <w:p>
      <w:pPr>
        <w:spacing w:after="0"/>
        <w:tabs>
          <w:tab w:leader="none" w:pos="4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b w:val="1"/>
          <w:bCs w:val="1"/>
          <w:color w:val="auto"/>
        </w:rPr>
        <w:t>Definition of Maturity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1.01 of the Credit Agreement is hereby amended by deleting the definition of “Maturity Date” in its entirety and replacing it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xml:space="preserve"> means December 15, 2026, or any subsequent date to which the Maturity Date is extended in accordance with Section 2.11.”</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Definition of U.S. Base Rate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Section 1.01 of the Credit Agreement is hereby amended by adding the following at the end of the definition of “U.S. Base Rate”: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greater certainty, if the rate as so determined is less than zero, it shall be deemed to be 0%”.</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Additional Definitions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1.01 of the Credit Agreement is hereby amended by adding the following definitions in alphabetical order: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“Erroneous Payment” </w:t>
      </w:r>
      <w:r>
        <w:rPr>
          <w:rFonts w:ascii="Arial" w:cs="Arial" w:eastAsia="Arial" w:hAnsi="Arial"/>
          <w:sz w:val="18"/>
          <w:szCs w:val="18"/>
          <w:color w:val="auto"/>
        </w:rPr>
        <w:t>has the meaning set forth in Section 25(a).</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“Erroneous Payment Notice” </w:t>
      </w:r>
      <w:r>
        <w:rPr>
          <w:rFonts w:ascii="Arial" w:cs="Arial" w:eastAsia="Arial" w:hAnsi="Arial"/>
          <w:sz w:val="18"/>
          <w:szCs w:val="18"/>
          <w:color w:val="auto"/>
        </w:rPr>
        <w:t>has the meaning set forth in Section 25(b).</w:t>
      </w:r>
    </w:p>
    <w:p>
      <w:pPr>
        <w:spacing w:after="0" w:line="171" w:lineRule="exact"/>
        <w:rPr>
          <w:sz w:val="20"/>
          <w:szCs w:val="20"/>
          <w:color w:val="auto"/>
        </w:rPr>
      </w:pPr>
    </w:p>
    <w:p>
      <w:pPr>
        <w:jc w:val="both"/>
        <w:ind w:left="660"/>
        <w:spacing w:after="0" w:line="281" w:lineRule="auto"/>
        <w:rPr>
          <w:sz w:val="20"/>
          <w:szCs w:val="20"/>
          <w:color w:val="auto"/>
        </w:rPr>
      </w:pPr>
      <w:r>
        <w:rPr>
          <w:rFonts w:ascii="Arial" w:cs="Arial" w:eastAsia="Arial" w:hAnsi="Arial"/>
          <w:sz w:val="17"/>
          <w:szCs w:val="17"/>
          <w:b w:val="1"/>
          <w:bCs w:val="1"/>
          <w:color w:val="auto"/>
        </w:rPr>
        <w:t xml:space="preserve">“FATCA” </w:t>
      </w:r>
      <w:r>
        <w:rPr>
          <w:rFonts w:ascii="Arial" w:cs="Arial" w:eastAsia="Arial" w:hAnsi="Arial"/>
          <w:sz w:val="17"/>
          <w:szCs w:val="17"/>
          <w:color w:val="auto"/>
        </w:rPr>
        <w:t>means Sections 1471 through 1474 of the Code, as of the date of this Agreement (or any amended or successor version that is</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substantively comparable and not materially more onerous to comply with), any current or future regulations or official interpretations thereof and any agreements entered into pursuant to Section 1471(b)(1) of the Code or any fiscal or regulatory legislation, rules or practices adopted pursuant to any intergovernmental agreement entered into in connection with the implementation of such Sections of the Code.</w:t>
      </w:r>
    </w:p>
    <w:p>
      <w:pPr>
        <w:spacing w:after="0" w:line="16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Deletion of Definitions</w:t>
      </w:r>
    </w:p>
    <w:p>
      <w:pPr>
        <w:spacing w:after="0" w:line="17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Section 1.01 of the Credit Agreement is hereby amended by deleting the definitions of “LIBO Successor Rate”, “LIBOR Scheduled Unavailability Date” and “LIBOR Screen Rate”.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5"/>
          <w:szCs w:val="15"/>
          <w:b w:val="1"/>
          <w:bCs w:val="1"/>
          <w:color w:val="auto"/>
        </w:rPr>
        <w:t>Extension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2.11 of the Credit Agreement is hereby amended by deleting the phrase “not to exceed one year”.</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LIBOR Discontinuation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3.08 of the Credit Agreement is hereby deleted in its entirety and replaced with the following Section 3.08: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“3.08 Termination of LIBOR Advances</w:t>
      </w:r>
    </w:p>
    <w:p>
      <w:pPr>
        <w:spacing w:after="0" w:line="171" w:lineRule="exact"/>
        <w:rPr>
          <w:sz w:val="20"/>
          <w:szCs w:val="20"/>
          <w:color w:val="auto"/>
        </w:rPr>
      </w:pPr>
    </w:p>
    <w:p>
      <w:pPr>
        <w:jc w:val="both"/>
        <w:ind w:left="1300" w:hanging="644"/>
        <w:spacing w:after="0" w:line="277" w:lineRule="auto"/>
        <w:tabs>
          <w:tab w:leader="none" w:pos="1414"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Replacing USD LIBOR</w:t>
      </w:r>
      <w:r>
        <w:rPr>
          <w:rFonts w:ascii="Arial" w:cs="Arial" w:eastAsia="Arial" w:hAnsi="Arial"/>
          <w:sz w:val="17"/>
          <w:szCs w:val="17"/>
          <w:color w:val="auto"/>
        </w:rPr>
        <w:t xml:space="preserve"> On March 5, 2021 the Financial Conduct Authority (</w:t>
      </w:r>
      <w:r>
        <w:rPr>
          <w:rFonts w:ascii="Arial" w:cs="Arial" w:eastAsia="Arial" w:hAnsi="Arial"/>
          <w:sz w:val="17"/>
          <w:szCs w:val="17"/>
          <w:b w:val="1"/>
          <w:bCs w:val="1"/>
          <w:color w:val="auto"/>
        </w:rPr>
        <w:t>“FCA”</w:t>
      </w:r>
      <w:r>
        <w:rPr>
          <w:rFonts w:ascii="Arial" w:cs="Arial" w:eastAsia="Arial" w:hAnsi="Arial"/>
          <w:sz w:val="17"/>
          <w:szCs w:val="17"/>
          <w:color w:val="auto"/>
        </w:rPr>
        <w:t>), the regulatory supervisor of USD LIBOR’s administrator (</w:t>
      </w:r>
      <w:r>
        <w:rPr>
          <w:rFonts w:ascii="Arial" w:cs="Arial" w:eastAsia="Arial" w:hAnsi="Arial"/>
          <w:sz w:val="17"/>
          <w:szCs w:val="17"/>
          <w:b w:val="1"/>
          <w:bCs w:val="1"/>
          <w:color w:val="auto"/>
        </w:rPr>
        <w:t>“IBA”</w:t>
      </w:r>
      <w:r>
        <w:rPr>
          <w:rFonts w:ascii="Arial" w:cs="Arial" w:eastAsia="Arial" w:hAnsi="Arial"/>
          <w:sz w:val="17"/>
          <w:szCs w:val="17"/>
          <w:color w:val="auto"/>
        </w:rPr>
        <w:t>), announced in a public statement the future cessation or loss of representativeness of overnight/Spot Next, 1-month, 3-month, 6-month and 12-month USD LIBOR tenor settings. On the earlier of (i) the date that all Available Tenors of USD LIBOR have either permanently or indefinitely ceased to be provided by IBA or have been announced by the FCA pursuant to public statement or publication of information to be no longer representative and (ii) the Early Opt-in Effective Date, if the then-</w:t>
      </w:r>
    </w:p>
    <w:p>
      <w:pPr>
        <w:sectPr>
          <w:pgSz w:w="11900" w:h="16838" w:orient="portrait"/>
          <w:cols w:equalWidth="0" w:num="1">
            <w:col w:w="11240"/>
          </w:cols>
          <w:pgMar w:left="320" w:top="1417" w:right="339" w:bottom="1440" w:gutter="0" w:footer="0" w:header="0"/>
        </w:sectPr>
      </w:pPr>
    </w:p>
    <w:bookmarkStart w:id="50" w:name="page51"/>
    <w:bookmarkEnd w:id="50"/>
    <w:p>
      <w:pPr>
        <w:jc w:val="both"/>
        <w:ind w:left="644"/>
        <w:spacing w:after="0" w:line="259" w:lineRule="auto"/>
        <w:rPr>
          <w:sz w:val="20"/>
          <w:szCs w:val="20"/>
          <w:color w:val="auto"/>
        </w:rPr>
      </w:pPr>
      <w:r>
        <w:rPr>
          <w:rFonts w:ascii="Arial" w:cs="Arial" w:eastAsia="Arial" w:hAnsi="Arial"/>
          <w:sz w:val="18"/>
          <w:szCs w:val="18"/>
          <w:color w:val="auto"/>
        </w:rPr>
        <w:t>current Benchmark is USD LIBOR, the Benchmark Replacement will replace such Benchmark for all purposes hereunder and under any Credit Document in respect of any setting of such Benchmark on such day and all subsequent settings without any amendment to, or further action or consent of any other party to this Agreement or any other Credit Document. If the Benchmark Replacement is Daily Simple SOFR, all interest payments will be payable on a monthly basis.</w:t>
      </w:r>
    </w:p>
    <w:p>
      <w:pPr>
        <w:spacing w:after="0" w:line="133" w:lineRule="exact"/>
        <w:rPr>
          <w:sz w:val="20"/>
          <w:szCs w:val="20"/>
          <w:color w:val="auto"/>
        </w:rPr>
      </w:pPr>
    </w:p>
    <w:p>
      <w:pPr>
        <w:jc w:val="both"/>
        <w:ind w:left="644" w:hanging="644"/>
        <w:spacing w:after="0" w:line="286" w:lineRule="auto"/>
        <w:tabs>
          <w:tab w:leader="none" w:pos="59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Replacing Future Benchmarks</w:t>
      </w:r>
      <w:r>
        <w:rPr>
          <w:rFonts w:ascii="Arial" w:cs="Arial" w:eastAsia="Arial" w:hAnsi="Arial"/>
          <w:sz w:val="16"/>
          <w:szCs w:val="16"/>
          <w:color w:val="auto"/>
        </w:rPr>
        <w:t xml:space="preserve"> Upon the occurrence of a Benchmark Transition Event, the Benchmark Replacement will replace the then-current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Majority Lenders.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Borrowers may revoke any request for a borrowing of a LIBOR Advance, conversion to or continuation of LIBOR Advances to be made, converted or continued that would bear interest by reference to such Benchmark until the Borrowers’ receipt of notice from the Administrative Agent that a Benchmark Replacement has replaced such Benchmark, and, failing that, the Borrowers will be deemed to have converted any such request into a request for a borrowing of or conversion to U.S. Base Rate Advances. During the period referenced in the foregoing sentence, the component of U.S. Base Rate based upon the Benchmark will not be used in any determination of U.S. Base Rate.</w:t>
      </w:r>
    </w:p>
    <w:p>
      <w:pPr>
        <w:spacing w:after="0" w:line="116" w:lineRule="exact"/>
        <w:rPr>
          <w:rFonts w:ascii="Arial" w:cs="Arial" w:eastAsia="Arial" w:hAnsi="Arial"/>
          <w:sz w:val="16"/>
          <w:szCs w:val="16"/>
          <w:color w:val="auto"/>
        </w:rPr>
      </w:pPr>
    </w:p>
    <w:p>
      <w:pPr>
        <w:jc w:val="both"/>
        <w:ind w:left="644" w:hanging="644"/>
        <w:spacing w:after="0" w:line="301" w:lineRule="auto"/>
        <w:tabs>
          <w:tab w:leader="none" w:pos="609"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xml:space="preserve"> In connection with the implementation and administration of a Benchmark Replacement,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w:t>
      </w:r>
    </w:p>
    <w:p>
      <w:pPr>
        <w:spacing w:after="0" w:line="103" w:lineRule="exact"/>
        <w:rPr>
          <w:rFonts w:ascii="Arial" w:cs="Arial" w:eastAsia="Arial" w:hAnsi="Arial"/>
          <w:sz w:val="16"/>
          <w:szCs w:val="16"/>
          <w:color w:val="auto"/>
        </w:rPr>
      </w:pPr>
    </w:p>
    <w:p>
      <w:pPr>
        <w:ind w:left="644" w:hanging="644"/>
        <w:spacing w:after="0" w:line="254"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Notices; Standards for Decisions and Determinations</w:t>
      </w:r>
      <w:r>
        <w:rPr>
          <w:rFonts w:ascii="Arial" w:cs="Arial" w:eastAsia="Arial" w:hAnsi="Arial"/>
          <w:sz w:val="18"/>
          <w:szCs w:val="18"/>
          <w:color w:val="auto"/>
        </w:rPr>
        <w:t xml:space="preserve"> The Administrative Agent will promptly notify the Borrowers and the Lenders of (i) the implementation of any Benchmark Replacement and (ii) the effectiveness of any Benchmark Replacement Conforming Changes.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w:t>
      </w:r>
    </w:p>
    <w:p>
      <w:pPr>
        <w:spacing w:after="0" w:line="140" w:lineRule="exact"/>
        <w:rPr>
          <w:rFonts w:ascii="Arial" w:cs="Arial" w:eastAsia="Arial" w:hAnsi="Arial"/>
          <w:sz w:val="18"/>
          <w:szCs w:val="18"/>
          <w:color w:val="auto"/>
        </w:rPr>
      </w:pPr>
    </w:p>
    <w:p>
      <w:pPr>
        <w:ind w:left="644" w:hanging="644"/>
        <w:spacing w:after="0" w:line="301" w:lineRule="auto"/>
        <w:tabs>
          <w:tab w:leader="none" w:pos="58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Unavailability of Tenor of Benchmark</w:t>
      </w:r>
      <w:r>
        <w:rPr>
          <w:rFonts w:ascii="Arial" w:cs="Arial" w:eastAsia="Arial" w:hAnsi="Arial"/>
          <w:sz w:val="16"/>
          <w:szCs w:val="16"/>
          <w:color w:val="auto"/>
        </w:rPr>
        <w:t xml:space="preserve"> At any time (including in connection with the implementation of a Benchmark Replacement), (i) if the then-current Benchmark is a term rate (including Term SOFR or USD LIBOR), then the Administrative Agent may remove any tenor of such Benchmark that is unavailable or non-representative for Benchmark (including Benchmark Replacement) settings and (ii) the Administrative Agent may reinstate any such previously removed tenor for Benchmark (including Benchmark Replacement) settings.</w:t>
      </w:r>
    </w:p>
    <w:p>
      <w:pPr>
        <w:spacing w:after="0" w:line="103" w:lineRule="exact"/>
        <w:rPr>
          <w:rFonts w:ascii="Arial" w:cs="Arial" w:eastAsia="Arial" w:hAnsi="Arial"/>
          <w:sz w:val="16"/>
          <w:szCs w:val="16"/>
          <w:color w:val="auto"/>
        </w:rPr>
      </w:pPr>
    </w:p>
    <w:p>
      <w:pPr>
        <w:ind w:left="544" w:hanging="544"/>
        <w:spacing w:after="0"/>
        <w:tabs>
          <w:tab w:leader="none" w:pos="54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Section titled “Termination of LIBOR Advances”:</w:t>
      </w:r>
    </w:p>
    <w:p>
      <w:pPr>
        <w:sectPr>
          <w:pgSz w:w="11900" w:h="16838" w:orient="portrait"/>
          <w:cols w:equalWidth="0" w:num="1">
            <w:col w:w="10584"/>
          </w:cols>
          <w:pgMar w:left="976" w:top="1421" w:right="339" w:bottom="1440" w:gutter="0" w:footer="0" w:header="0"/>
        </w:sectPr>
      </w:pPr>
    </w:p>
    <w:bookmarkStart w:id="51" w:name="page52"/>
    <w:bookmarkEnd w:id="51"/>
    <w:p>
      <w:pPr>
        <w:ind w:left="180"/>
        <w:spacing w:after="0" w:line="293" w:lineRule="auto"/>
        <w:rPr>
          <w:sz w:val="20"/>
          <w:szCs w:val="20"/>
          <w:color w:val="auto"/>
        </w:rPr>
      </w:pPr>
      <w:r>
        <w:rPr>
          <w:rFonts w:ascii="Arial" w:cs="Arial" w:eastAsia="Arial" w:hAnsi="Arial"/>
          <w:sz w:val="16"/>
          <w:szCs w:val="16"/>
          <w:b w:val="1"/>
          <w:bCs w:val="1"/>
          <w:color w:val="auto"/>
        </w:rPr>
        <w:t xml:space="preserve">“Available Tenor” </w:t>
      </w:r>
      <w:r>
        <w:rPr>
          <w:rFonts w:ascii="Arial" w:cs="Arial" w:eastAsia="Arial" w:hAnsi="Arial"/>
          <w:sz w:val="16"/>
          <w:szCs w:val="16"/>
          <w:color w:val="auto"/>
        </w:rPr>
        <w:t>means, as of any date of determination and with respect to the then-current Benchmark, as applicable, (x) if the then-current Benchmark is a term rate, any tenor for such Benchmark that is or may be used for determining the length of an Interest Period or</w:t>
      </w:r>
    </w:p>
    <w:p>
      <w:pPr>
        <w:spacing w:after="0" w:line="1" w:lineRule="exact"/>
        <w:rPr>
          <w:sz w:val="20"/>
          <w:szCs w:val="20"/>
          <w:color w:val="auto"/>
        </w:rPr>
      </w:pPr>
    </w:p>
    <w:p>
      <w:pPr>
        <w:ind w:left="180" w:firstLine="4"/>
        <w:spacing w:after="0" w:line="260" w:lineRule="auto"/>
        <w:tabs>
          <w:tab w:leader="none" w:pos="4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otherwise, any payment period for interest calculated with reference to such Benchmark, as applicable, pursuant to this Agreement as of such date.</w:t>
      </w:r>
    </w:p>
    <w:p>
      <w:pPr>
        <w:spacing w:after="0" w:line="127" w:lineRule="exact"/>
        <w:rPr>
          <w:sz w:val="20"/>
          <w:szCs w:val="20"/>
          <w:color w:val="auto"/>
        </w:rPr>
      </w:pPr>
    </w:p>
    <w:p>
      <w:pPr>
        <w:jc w:val="both"/>
        <w:ind w:left="180"/>
        <w:spacing w:after="0" w:line="261" w:lineRule="auto"/>
        <w:rPr>
          <w:sz w:val="20"/>
          <w:szCs w:val="20"/>
          <w:color w:val="auto"/>
        </w:rPr>
      </w:pPr>
      <w:r>
        <w:rPr>
          <w:rFonts w:ascii="Arial" w:cs="Arial" w:eastAsia="Arial" w:hAnsi="Arial"/>
          <w:sz w:val="18"/>
          <w:szCs w:val="18"/>
          <w:b w:val="1"/>
          <w:bCs w:val="1"/>
          <w:color w:val="auto"/>
        </w:rPr>
        <w:t xml:space="preserve">“Benchmark” </w:t>
      </w:r>
      <w:r>
        <w:rPr>
          <w:rFonts w:ascii="Arial" w:cs="Arial" w:eastAsia="Arial" w:hAnsi="Arial"/>
          <w:sz w:val="18"/>
          <w:szCs w:val="18"/>
          <w:color w:val="auto"/>
        </w:rPr>
        <w:t>means, initially, USD LIBOR; provided that if a replacement of the Benchmark has occurred pursuant to this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titled “Termination of LIBOR Advances”, then “</w:t>
      </w:r>
      <w:r>
        <w:rPr>
          <w:rFonts w:ascii="Arial" w:cs="Arial" w:eastAsia="Arial" w:hAnsi="Arial"/>
          <w:sz w:val="18"/>
          <w:szCs w:val="18"/>
          <w:b w:val="1"/>
          <w:bCs w:val="1"/>
          <w:color w:val="auto"/>
        </w:rPr>
        <w:t>Benchmark”</w:t>
      </w:r>
      <w:r>
        <w:rPr>
          <w:rFonts w:ascii="Arial" w:cs="Arial" w:eastAsia="Arial" w:hAnsi="Arial"/>
          <w:sz w:val="18"/>
          <w:szCs w:val="18"/>
          <w:color w:val="auto"/>
        </w:rPr>
        <w:t xml:space="preserve"> means the applicable Benchmark Replacement to the extent that such Benchmark Replacement has replaced such prior benchmark rate. Any reference to “Benchmark” shall include, as applicable, the published component used in the calculation thereof.</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“Benchmark Replacement” </w:t>
      </w:r>
      <w:r>
        <w:rPr>
          <w:rFonts w:ascii="Arial" w:cs="Arial" w:eastAsia="Arial" w:hAnsi="Arial"/>
          <w:sz w:val="18"/>
          <w:szCs w:val="18"/>
          <w:color w:val="auto"/>
        </w:rPr>
        <w:t>means, for any Available Tenor:</w:t>
      </w:r>
    </w:p>
    <w:p>
      <w:pPr>
        <w:spacing w:after="0" w:line="175" w:lineRule="exact"/>
        <w:rPr>
          <w:sz w:val="20"/>
          <w:szCs w:val="20"/>
          <w:color w:val="auto"/>
        </w:rPr>
      </w:pPr>
    </w:p>
    <w:p>
      <w:pPr>
        <w:ind w:left="720" w:hanging="536"/>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purposes of clause (c) of this Section, the first alternative set forth below that can be determined by the Administrative Agent:</w:t>
      </w:r>
    </w:p>
    <w:p>
      <w:pPr>
        <w:spacing w:after="0" w:line="194" w:lineRule="exact"/>
        <w:rPr>
          <w:rFonts w:ascii="Arial" w:cs="Arial" w:eastAsia="Arial" w:hAnsi="Arial"/>
          <w:sz w:val="16"/>
          <w:szCs w:val="16"/>
          <w:color w:val="auto"/>
        </w:rPr>
      </w:pPr>
    </w:p>
    <w:p>
      <w:pPr>
        <w:jc w:val="both"/>
        <w:ind w:left="1480" w:hanging="648"/>
        <w:spacing w:after="0" w:line="263" w:lineRule="auto"/>
        <w:tabs>
          <w:tab w:leader="none" w:pos="15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sum of: (i) Term SOFR and (ii) 0.11448% (11.448 basis points) for an Available Tenor of one-month’s duration, 0.26161% (26.161 basis points) for an Available Tenor of three-months’ duration, and 0.42826% (42.826 basis points) for an Available Tenor of six-months’ duration, or</w:t>
      </w:r>
    </w:p>
    <w:p>
      <w:pPr>
        <w:spacing w:after="0" w:line="129" w:lineRule="exact"/>
        <w:rPr>
          <w:rFonts w:ascii="Arial" w:cs="Arial" w:eastAsia="Arial" w:hAnsi="Arial"/>
          <w:sz w:val="18"/>
          <w:szCs w:val="18"/>
          <w:color w:val="auto"/>
        </w:rPr>
      </w:pPr>
    </w:p>
    <w:p>
      <w:pPr>
        <w:jc w:val="both"/>
        <w:ind w:left="1480" w:hanging="648"/>
        <w:spacing w:after="0" w:line="286" w:lineRule="auto"/>
        <w:tabs>
          <w:tab w:leader="none" w:pos="1725"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sum of: (i) Daily Simple SOFR and (ii) the spread adjustment selected or recommended by the Relevant Governmental Body for the replacement of the tenor of USD LIBOR with a SOFR-based rate having approximately the same length as the interest payment period specified in clause (A) of this Section; and</w:t>
      </w:r>
    </w:p>
    <w:p>
      <w:pPr>
        <w:spacing w:after="0" w:line="111" w:lineRule="exact"/>
        <w:rPr>
          <w:rFonts w:ascii="Arial" w:cs="Arial" w:eastAsia="Arial" w:hAnsi="Arial"/>
          <w:sz w:val="17"/>
          <w:szCs w:val="17"/>
          <w:color w:val="auto"/>
        </w:rPr>
      </w:pPr>
    </w:p>
    <w:p>
      <w:pPr>
        <w:jc w:val="both"/>
        <w:ind w:left="840" w:hanging="656"/>
        <w:spacing w:after="0" w:line="257" w:lineRule="auto"/>
        <w:tabs>
          <w:tab w:leader="none" w:pos="8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purposes of clause (d) of this Section, the sum of (a) the alternate benchmark rate and (b) an adjustment (which may be a positive or negative value or zero), in each case, that has been selected by the Administrative Agent and the Borrowers as the replacement for such Available Tenor of such Benchmark giving due consideration to any evolving or then-prevailing market convention, including any applicable recommendations made by the Relevant Governmental Body, for U.S. dollar-denominated syndicated credit facilities at such time;</w:t>
      </w:r>
    </w:p>
    <w:p>
      <w:pPr>
        <w:spacing w:after="0" w:line="134" w:lineRule="exact"/>
        <w:rPr>
          <w:sz w:val="20"/>
          <w:szCs w:val="20"/>
          <w:color w:val="auto"/>
        </w:rPr>
      </w:pPr>
    </w:p>
    <w:p>
      <w:pPr>
        <w:jc w:val="both"/>
        <w:ind w:left="18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Benchmark Replacement as determined pursuant to clause (A) or (B) above would be less than the Floor, the Benchmark Replacement will be deemed to be the Floor for the purposes of this Agreement and the other Credit Documents.</w:t>
      </w:r>
    </w:p>
    <w:p>
      <w:pPr>
        <w:spacing w:after="0" w:line="88" w:lineRule="exact"/>
        <w:rPr>
          <w:sz w:val="20"/>
          <w:szCs w:val="20"/>
          <w:color w:val="auto"/>
        </w:rPr>
      </w:pPr>
    </w:p>
    <w:p>
      <w:pPr>
        <w:jc w:val="both"/>
        <w:ind w:left="180"/>
        <w:spacing w:after="0" w:line="289" w:lineRule="auto"/>
        <w:rPr>
          <w:sz w:val="20"/>
          <w:szCs w:val="20"/>
          <w:color w:val="auto"/>
        </w:rPr>
      </w:pPr>
      <w:r>
        <w:rPr>
          <w:rFonts w:ascii="Arial" w:cs="Arial" w:eastAsia="Arial" w:hAnsi="Arial"/>
          <w:sz w:val="16"/>
          <w:szCs w:val="16"/>
          <w:b w:val="1"/>
          <w:bCs w:val="1"/>
          <w:color w:val="auto"/>
        </w:rPr>
        <w:t xml:space="preserve">“Benchmark Replacement Conforming Changes” </w:t>
      </w:r>
      <w:r>
        <w:rPr>
          <w:rFonts w:ascii="Arial" w:cs="Arial" w:eastAsia="Arial" w:hAnsi="Arial"/>
          <w:sz w:val="16"/>
          <w:szCs w:val="16"/>
          <w:color w:val="auto"/>
        </w:rPr>
        <w:t>means, with respect to any Benchmark Replacement, any technical,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or operational changes (including changes to the definition of “U.S.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Credit Documents).</w:t>
      </w:r>
    </w:p>
    <w:p>
      <w:pPr>
        <w:sectPr>
          <w:pgSz w:w="11900" w:h="16838" w:orient="portrait"/>
          <w:cols w:equalWidth="0" w:num="1">
            <w:col w:w="10120"/>
          </w:cols>
          <w:pgMar w:left="1440" w:top="1417" w:right="339" w:bottom="1440" w:gutter="0" w:footer="0" w:header="0"/>
        </w:sectPr>
      </w:pPr>
    </w:p>
    <w:bookmarkStart w:id="52" w:name="page53"/>
    <w:bookmarkEnd w:id="52"/>
    <w:p>
      <w:pPr>
        <w:jc w:val="both"/>
        <w:ind w:left="180"/>
        <w:spacing w:after="0" w:line="270" w:lineRule="auto"/>
        <w:rPr>
          <w:sz w:val="20"/>
          <w:szCs w:val="20"/>
          <w:color w:val="auto"/>
        </w:rPr>
      </w:pPr>
      <w:r>
        <w:rPr>
          <w:rFonts w:ascii="Arial" w:cs="Arial" w:eastAsia="Arial" w:hAnsi="Arial"/>
          <w:sz w:val="17"/>
          <w:szCs w:val="17"/>
          <w:b w:val="1"/>
          <w:bCs w:val="1"/>
          <w:color w:val="auto"/>
        </w:rPr>
        <w:t xml:space="preserve">“Benchmark Transition Event” </w:t>
      </w:r>
      <w:r>
        <w:rPr>
          <w:rFonts w:ascii="Arial" w:cs="Arial" w:eastAsia="Arial" w:hAnsi="Arial"/>
          <w:sz w:val="17"/>
          <w:szCs w:val="17"/>
          <w:color w:val="auto"/>
        </w:rPr>
        <w:t>means, with respect to any then-current Benchmark other than USD LIBOR, the occurrence of a public</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provided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123" w:lineRule="exact"/>
        <w:rPr>
          <w:sz w:val="20"/>
          <w:szCs w:val="20"/>
          <w:color w:val="auto"/>
        </w:rPr>
      </w:pPr>
    </w:p>
    <w:p>
      <w:pPr>
        <w:jc w:val="both"/>
        <w:ind w:left="180"/>
        <w:spacing w:after="0" w:line="258" w:lineRule="auto"/>
        <w:rPr>
          <w:sz w:val="20"/>
          <w:szCs w:val="20"/>
          <w:color w:val="auto"/>
        </w:rPr>
      </w:pPr>
      <w:r>
        <w:rPr>
          <w:rFonts w:ascii="Arial" w:cs="Arial" w:eastAsia="Arial" w:hAnsi="Arial"/>
          <w:sz w:val="18"/>
          <w:szCs w:val="18"/>
          <w:b w:val="1"/>
          <w:bCs w:val="1"/>
          <w:color w:val="auto"/>
        </w:rPr>
        <w:t xml:space="preserve">“Daily Simple SOFR” </w:t>
      </w:r>
      <w:r>
        <w:rPr>
          <w:rFonts w:ascii="Arial" w:cs="Arial" w:eastAsia="Arial" w:hAnsi="Arial"/>
          <w:sz w:val="18"/>
          <w:szCs w:val="18"/>
          <w:color w:val="auto"/>
        </w:rPr>
        <w:t>means, for any day, SOFR, with the conventions for this rate (which will include a lookback) being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Administrative Agent in accordance with the conventions for this rate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29" w:lineRule="exact"/>
        <w:rPr>
          <w:sz w:val="20"/>
          <w:szCs w:val="20"/>
          <w:color w:val="auto"/>
        </w:rPr>
      </w:pPr>
    </w:p>
    <w:p>
      <w:pPr>
        <w:jc w:val="both"/>
        <w:ind w:left="180"/>
        <w:spacing w:after="0" w:line="261" w:lineRule="auto"/>
        <w:rPr>
          <w:sz w:val="20"/>
          <w:szCs w:val="20"/>
          <w:color w:val="auto"/>
        </w:rPr>
      </w:pPr>
      <w:r>
        <w:rPr>
          <w:rFonts w:ascii="Arial" w:cs="Arial" w:eastAsia="Arial" w:hAnsi="Arial"/>
          <w:sz w:val="18"/>
          <w:szCs w:val="18"/>
          <w:b w:val="1"/>
          <w:bCs w:val="1"/>
          <w:color w:val="auto"/>
        </w:rPr>
        <w:t xml:space="preserve">“Early Opt-in Effective Date” </w:t>
      </w:r>
      <w:r>
        <w:rPr>
          <w:rFonts w:ascii="Arial" w:cs="Arial" w:eastAsia="Arial" w:hAnsi="Arial"/>
          <w:sz w:val="18"/>
          <w:szCs w:val="18"/>
          <w:color w:val="auto"/>
        </w:rPr>
        <w:t>means, with respect to any Early Opt-in Election, the sixth (6th) Business Day after the date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Majority Lenders.</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“Early Opt-in Election” </w:t>
      </w:r>
      <w:r>
        <w:rPr>
          <w:rFonts w:ascii="Arial" w:cs="Arial" w:eastAsia="Arial" w:hAnsi="Arial"/>
          <w:sz w:val="18"/>
          <w:szCs w:val="18"/>
          <w:color w:val="auto"/>
        </w:rPr>
        <w:t>means the occurrence of:</w:t>
      </w:r>
    </w:p>
    <w:p>
      <w:pPr>
        <w:spacing w:after="0" w:line="175" w:lineRule="exact"/>
        <w:rPr>
          <w:sz w:val="20"/>
          <w:szCs w:val="20"/>
          <w:color w:val="auto"/>
        </w:rPr>
      </w:pPr>
    </w:p>
    <w:p>
      <w:pPr>
        <w:jc w:val="both"/>
        <w:ind w:left="840" w:hanging="656"/>
        <w:spacing w:after="0" w:line="257" w:lineRule="auto"/>
        <w:tabs>
          <w:tab w:leader="none" w:pos="82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notification by the Administrative Agent to (or the request by a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33" w:lineRule="exact"/>
        <w:rPr>
          <w:rFonts w:ascii="Arial" w:cs="Arial" w:eastAsia="Arial" w:hAnsi="Arial"/>
          <w:sz w:val="18"/>
          <w:szCs w:val="18"/>
          <w:color w:val="auto"/>
        </w:rPr>
      </w:pPr>
    </w:p>
    <w:p>
      <w:pPr>
        <w:ind w:left="840" w:hanging="656"/>
        <w:spacing w:after="0" w:line="277" w:lineRule="auto"/>
        <w:tabs>
          <w:tab w:leader="none" w:pos="78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Borrowers to trigger a fallback from USD LIBOR and the provision by the Administrative Agent of written notice of such election to the Lenders.</w:t>
      </w:r>
    </w:p>
    <w:p>
      <w:pPr>
        <w:spacing w:after="0" w:line="112" w:lineRule="exact"/>
        <w:rPr>
          <w:sz w:val="20"/>
          <w:szCs w:val="20"/>
          <w:color w:val="auto"/>
        </w:rPr>
      </w:pPr>
    </w:p>
    <w:p>
      <w:pPr>
        <w:jc w:val="both"/>
        <w:ind w:left="180"/>
        <w:spacing w:after="0" w:line="282" w:lineRule="auto"/>
        <w:rPr>
          <w:sz w:val="20"/>
          <w:szCs w:val="20"/>
          <w:color w:val="auto"/>
        </w:rPr>
      </w:pPr>
      <w:r>
        <w:rPr>
          <w:rFonts w:ascii="Arial" w:cs="Arial" w:eastAsia="Arial" w:hAnsi="Arial"/>
          <w:sz w:val="18"/>
          <w:szCs w:val="18"/>
          <w:b w:val="1"/>
          <w:bCs w:val="1"/>
          <w:color w:val="auto"/>
        </w:rPr>
        <w:t xml:space="preserve">“Floor” </w:t>
      </w:r>
      <w:r>
        <w:rPr>
          <w:rFonts w:ascii="Arial" w:cs="Arial" w:eastAsia="Arial" w:hAnsi="Arial"/>
          <w:sz w:val="18"/>
          <w:szCs w:val="18"/>
          <w:color w:val="auto"/>
        </w:rPr>
        <w:t>means the benchmark rate floor, if any, provided in this Agreement initially (as of the execution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amendment or renewal of this Agreement or otherwise) with respect to USD LIBOR.</w:t>
      </w:r>
    </w:p>
    <w:p>
      <w:pPr>
        <w:spacing w:after="0" w:line="108" w:lineRule="exact"/>
        <w:rPr>
          <w:sz w:val="20"/>
          <w:szCs w:val="20"/>
          <w:color w:val="auto"/>
        </w:rPr>
      </w:pPr>
    </w:p>
    <w:p>
      <w:pPr>
        <w:jc w:val="both"/>
        <w:ind w:left="180"/>
        <w:spacing w:after="0" w:line="266" w:lineRule="auto"/>
        <w:rPr>
          <w:sz w:val="20"/>
          <w:szCs w:val="20"/>
          <w:color w:val="auto"/>
        </w:rPr>
      </w:pPr>
      <w:r>
        <w:rPr>
          <w:rFonts w:ascii="Arial" w:cs="Arial" w:eastAsia="Arial" w:hAnsi="Arial"/>
          <w:sz w:val="18"/>
          <w:szCs w:val="18"/>
          <w:b w:val="1"/>
          <w:bCs w:val="1"/>
          <w:color w:val="auto"/>
        </w:rPr>
        <w:t xml:space="preserve">“Relevant Governmental Body” </w:t>
      </w:r>
      <w:r>
        <w:rPr>
          <w:rFonts w:ascii="Arial" w:cs="Arial" w:eastAsia="Arial" w:hAnsi="Arial"/>
          <w:sz w:val="18"/>
          <w:szCs w:val="18"/>
          <w:color w:val="auto"/>
        </w:rPr>
        <w:t>means the Board of Governors of the Federal Reserve System or the Federal Reserve Bank of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or a committee officially endorsed or convened by the Board of Governors of the Federal Reserve System or the Federal Reserve Bank of New York, or any successor thereto.</w:t>
      </w:r>
    </w:p>
    <w:p>
      <w:pPr>
        <w:spacing w:after="0" w:line="122" w:lineRule="exact"/>
        <w:rPr>
          <w:sz w:val="20"/>
          <w:szCs w:val="20"/>
          <w:color w:val="auto"/>
        </w:rPr>
      </w:pPr>
    </w:p>
    <w:p>
      <w:pPr>
        <w:jc w:val="both"/>
        <w:ind w:left="180"/>
        <w:spacing w:after="0" w:line="289" w:lineRule="auto"/>
        <w:rPr>
          <w:sz w:val="20"/>
          <w:szCs w:val="20"/>
          <w:color w:val="auto"/>
        </w:rPr>
      </w:pPr>
      <w:r>
        <w:rPr>
          <w:rFonts w:ascii="Arial" w:cs="Arial" w:eastAsia="Arial" w:hAnsi="Arial"/>
          <w:sz w:val="17"/>
          <w:szCs w:val="17"/>
          <w:b w:val="1"/>
          <w:bCs w:val="1"/>
          <w:color w:val="auto"/>
        </w:rPr>
        <w:t xml:space="preserve">“SOFR” </w:t>
      </w:r>
      <w:r>
        <w:rPr>
          <w:rFonts w:ascii="Arial" w:cs="Arial" w:eastAsia="Arial" w:hAnsi="Arial"/>
          <w:sz w:val="17"/>
          <w:szCs w:val="17"/>
          <w:color w:val="auto"/>
        </w:rPr>
        <w:t>means a rate per annum equal to the secured overnight financing rate for such Business Day published by the Federal Reserve</w:t>
      </w:r>
      <w:r>
        <w:rPr>
          <w:rFonts w:ascii="Arial" w:cs="Arial" w:eastAsia="Arial" w:hAnsi="Arial"/>
          <w:sz w:val="17"/>
          <w:szCs w:val="17"/>
          <w:b w:val="1"/>
          <w:bCs w:val="1"/>
          <w:color w:val="auto"/>
        </w:rPr>
        <w:t xml:space="preserve"> </w:t>
      </w:r>
      <w:r>
        <w:rPr>
          <w:rFonts w:ascii="Arial" w:cs="Arial" w:eastAsia="Arial" w:hAnsi="Arial"/>
          <w:sz w:val="17"/>
          <w:szCs w:val="17"/>
          <w:color w:val="auto"/>
        </w:rPr>
        <w:t>Bank of New York (or a successor administrator of the secured overnight financing rate) on the website of the Federal Reserve Bank of New York, currently at http://www.newyorkfed.org (or any successor source for the secured overnight</w:t>
      </w:r>
    </w:p>
    <w:p>
      <w:pPr>
        <w:sectPr>
          <w:pgSz w:w="11900" w:h="16838" w:orient="portrait"/>
          <w:cols w:equalWidth="0" w:num="1">
            <w:col w:w="10120"/>
          </w:cols>
          <w:pgMar w:left="1440" w:top="1417" w:right="339" w:bottom="1440" w:gutter="0" w:footer="0" w:header="0"/>
        </w:sectPr>
      </w:pPr>
    </w:p>
    <w:bookmarkStart w:id="53" w:name="page54"/>
    <w:bookmarkEnd w:id="53"/>
    <w:p>
      <w:pPr>
        <w:ind w:left="1300"/>
        <w:spacing w:after="0"/>
        <w:rPr>
          <w:sz w:val="20"/>
          <w:szCs w:val="20"/>
          <w:color w:val="auto"/>
        </w:rPr>
      </w:pPr>
      <w:r>
        <w:rPr>
          <w:rFonts w:ascii="Arial" w:cs="Arial" w:eastAsia="Arial" w:hAnsi="Arial"/>
          <w:sz w:val="18"/>
          <w:szCs w:val="18"/>
          <w:color w:val="auto"/>
        </w:rPr>
        <w:t>financing rate identified as such by the administrator of the secured overnight financing rate from time to time).</w:t>
      </w:r>
    </w:p>
    <w:p>
      <w:pPr>
        <w:spacing w:after="0" w:line="167" w:lineRule="exact"/>
        <w:rPr>
          <w:sz w:val="20"/>
          <w:szCs w:val="20"/>
          <w:color w:val="auto"/>
        </w:rPr>
      </w:pPr>
    </w:p>
    <w:p>
      <w:pPr>
        <w:jc w:val="both"/>
        <w:ind w:left="1300" w:right="20"/>
        <w:spacing w:after="0" w:line="282" w:lineRule="auto"/>
        <w:rPr>
          <w:sz w:val="20"/>
          <w:szCs w:val="20"/>
          <w:color w:val="auto"/>
        </w:rPr>
      </w:pPr>
      <w:r>
        <w:rPr>
          <w:rFonts w:ascii="Arial" w:cs="Arial" w:eastAsia="Arial" w:hAnsi="Arial"/>
          <w:sz w:val="18"/>
          <w:szCs w:val="18"/>
          <w:b w:val="1"/>
          <w:bCs w:val="1"/>
          <w:color w:val="auto"/>
        </w:rPr>
        <w:t xml:space="preserve">“Term SOFR” </w:t>
      </w:r>
      <w:r>
        <w:rPr>
          <w:rFonts w:ascii="Arial" w:cs="Arial" w:eastAsia="Arial" w:hAnsi="Arial"/>
          <w:sz w:val="18"/>
          <w:szCs w:val="18"/>
          <w:color w:val="auto"/>
        </w:rPr>
        <w:t>means, for the applicable corresponding tenor, the forward-looking term rate based on SOFR that has been selected or</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recommended by the Relevant Governmental Body.</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“USD LIBOR” </w:t>
      </w:r>
      <w:r>
        <w:rPr>
          <w:rFonts w:ascii="Arial" w:cs="Arial" w:eastAsia="Arial" w:hAnsi="Arial"/>
          <w:sz w:val="18"/>
          <w:szCs w:val="18"/>
          <w:color w:val="auto"/>
        </w:rPr>
        <w:t>means the London interbank offered rate for U.S. dollars.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b w:val="1"/>
          <w:bCs w:val="1"/>
          <w:color w:val="auto"/>
        </w:rPr>
        <w:t>Financial Reporting</w:t>
      </w:r>
    </w:p>
    <w:p>
      <w:pPr>
        <w:spacing w:after="0" w:line="175"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2.18.1 Section 8.01(1)(a)(i) of the Credit Agreement is hereby amended by deleting the phrase “setting forth in each case in comparative form the figures for the corresponding period or periods of (or in the case of the balance sheet, as at the end of) the previous Financial Year,”.</w:t>
      </w:r>
    </w:p>
    <w:p>
      <w:pPr>
        <w:spacing w:after="0" w:line="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2.18.2 Section 8.01(1)(a)(ii) of the Credit Agreement is hereby amended by deleting the subsection in its entirety and replacing it with the following:</w:t>
      </w:r>
    </w:p>
    <w:p>
      <w:pPr>
        <w:spacing w:after="0" w:line="116" w:lineRule="exact"/>
        <w:rPr>
          <w:sz w:val="20"/>
          <w:szCs w:val="20"/>
          <w:color w:val="auto"/>
        </w:rPr>
      </w:pPr>
    </w:p>
    <w:p>
      <w:pPr>
        <w:jc w:val="both"/>
        <w:ind w:left="1300"/>
        <w:spacing w:after="0" w:line="291" w:lineRule="auto"/>
        <w:rPr>
          <w:sz w:val="20"/>
          <w:szCs w:val="20"/>
          <w:color w:val="auto"/>
        </w:rPr>
      </w:pPr>
      <w:r>
        <w:rPr>
          <w:rFonts w:ascii="Arial" w:cs="Arial" w:eastAsia="Arial" w:hAnsi="Arial"/>
          <w:sz w:val="16"/>
          <w:szCs w:val="16"/>
          <w:color w:val="auto"/>
        </w:rPr>
        <w:t>“as soon as practicable and in any event within 90 days of the end of each Financial Year of the Borrowers, (A) the annual audited combined consolidated financial statements of the Borrowers and their Subsidiaries, together with, in comparative form the figures for the previous Financial Year, (B) the annual audited consolidated financial statements of Parent GP, and (C) the annual unaudited unit financial statements of each Non-Consolidated Subsidiary which accounts for a positive or negative contribution of at least $500,000 to Consolidated EBITDA for the relevant period, in each case, prepared in accordance with GAAP including, without limitation, a balance sheet, income statement and statement of cash flows as at the end of and for such Financial Year (which financial statements of the Borrowers and their Subsidiaries and of Parent GP shall be audited by a nationally recognized accounting firm);”</w:t>
      </w:r>
    </w:p>
    <w:p>
      <w:pPr>
        <w:spacing w:after="0" w:line="11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2.18.3 Section 8.01(1)(a)(iv) of the Credit Agreement is hereby amended by deleting the subsection in its entirety and replacing it with the following:</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 soon as available and in any event within 90 days of the end of each Financial Year of the Borrowers, an Annual Business Plan.”</w:t>
      </w:r>
    </w:p>
    <w:p>
      <w:pPr>
        <w:spacing w:after="0" w:line="2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7"/>
          <w:szCs w:val="17"/>
          <w:b w:val="1"/>
          <w:bCs w:val="1"/>
          <w:color w:val="auto"/>
        </w:rPr>
        <w:t>Drafts</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Section 4.02 of the Credit Agreement is hereby amended by deleting the phrase “or, subject to availability, six months”.</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7"/>
          <w:szCs w:val="17"/>
          <w:b w:val="1"/>
          <w:bCs w:val="1"/>
          <w:color w:val="auto"/>
        </w:rPr>
        <w:t>FATCA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Credit Agreement is hereby amended by adding the following Section 10.02(5):</w:t>
      </w:r>
    </w:p>
    <w:p>
      <w:pPr>
        <w:spacing w:after="0" w:line="171" w:lineRule="exact"/>
        <w:rPr>
          <w:sz w:val="20"/>
          <w:szCs w:val="20"/>
          <w:color w:val="auto"/>
        </w:rPr>
      </w:pPr>
    </w:p>
    <w:p>
      <w:pPr>
        <w:jc w:val="both"/>
        <w:ind w:left="660" w:right="660"/>
        <w:spacing w:after="0" w:line="270" w:lineRule="auto"/>
        <w:rPr>
          <w:sz w:val="20"/>
          <w:szCs w:val="20"/>
          <w:color w:val="auto"/>
        </w:rPr>
      </w:pPr>
      <w:r>
        <w:rPr>
          <w:rFonts w:ascii="Arial" w:cs="Arial" w:eastAsia="Arial" w:hAnsi="Arial"/>
          <w:sz w:val="17"/>
          <w:szCs w:val="17"/>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any Borrower or the Administrative Agent such documentation prescribed by applicable law (including as prescribed by Section 1471(b)(3)(C)(i) of the Code) and such additional documentation reasonably requested by any Borrower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10.02(5), </w:t>
      </w:r>
      <w:r>
        <w:rPr>
          <w:rFonts w:ascii="Arial" w:cs="Arial" w:eastAsia="Arial" w:hAnsi="Arial"/>
          <w:sz w:val="17"/>
          <w:szCs w:val="17"/>
          <w:b w:val="1"/>
          <w:bCs w:val="1"/>
          <w:color w:val="auto"/>
        </w:rPr>
        <w:t>“FATCA”</w:t>
      </w:r>
      <w:r>
        <w:rPr>
          <w:rFonts w:ascii="Arial" w:cs="Arial" w:eastAsia="Arial" w:hAnsi="Arial"/>
          <w:sz w:val="17"/>
          <w:szCs w:val="17"/>
          <w:color w:val="auto"/>
        </w:rPr>
        <w:t xml:space="preserve"> shall include all amendments made to FATCA after the date of this Agreement.”</w:t>
      </w:r>
    </w:p>
    <w:p>
      <w:pPr>
        <w:sectPr>
          <w:pgSz w:w="11900" w:h="16838" w:orient="portrait"/>
          <w:cols w:equalWidth="0" w:num="1">
            <w:col w:w="11240"/>
          </w:cols>
          <w:pgMar w:left="320" w:top="1421" w:right="339" w:bottom="1440" w:gutter="0" w:footer="0" w:header="0"/>
        </w:sectPr>
      </w:pPr>
    </w:p>
    <w:bookmarkStart w:id="54" w:name="page55"/>
    <w:bookmarkEnd w:id="54"/>
    <w:p>
      <w:pPr>
        <w:spacing w:after="0"/>
        <w:tabs>
          <w:tab w:leader="none" w:pos="48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5"/>
          <w:szCs w:val="15"/>
          <w:b w:val="1"/>
          <w:bCs w:val="1"/>
          <w:color w:val="auto"/>
        </w:rPr>
        <w:t>Erroneous Payments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Credit Agreement is hereby amended by adding the following Article 25: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Erroneous Payments</w:t>
      </w:r>
    </w:p>
    <w:p>
      <w:pPr>
        <w:spacing w:after="0" w:line="15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Erroneous Payments</w:t>
      </w:r>
    </w:p>
    <w:p>
      <w:pPr>
        <w:spacing w:after="0" w:line="175" w:lineRule="exact"/>
        <w:rPr>
          <w:rFonts w:ascii="Arial" w:cs="Arial" w:eastAsia="Arial" w:hAnsi="Arial"/>
          <w:sz w:val="18"/>
          <w:szCs w:val="18"/>
          <w:b w:val="1"/>
          <w:bCs w:val="1"/>
          <w:color w:val="auto"/>
        </w:rPr>
      </w:pPr>
    </w:p>
    <w:p>
      <w:pPr>
        <w:jc w:val="both"/>
        <w:ind w:left="1300" w:hanging="644"/>
        <w:spacing w:after="0" w:line="286" w:lineRule="auto"/>
        <w:tabs>
          <w:tab w:leader="none" w:pos="1289"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Lender hereby agrees that (i) if the Administrative Agent notifies such Lender that the Administrative Agent has determined in its sole discretion that any funds received by such Lender from the Administrative Agent or any of its Affiliates were erroneously transmitted to, or otherwise erroneously or mistakenly received by, such Lender (whether or not known to such Lender) (whether as a payment, prepayment or repayment of principal, interest, fees or otherwise; individually and collectively, an “Erroneous Payment”) and demands the return of such Erroneous Payment (or a portion thereof), such Lender shall promptly, but in no event later than one (1)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 and (ii)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under this Section 25 shall be conclusive, absent manifest error.</w:t>
      </w:r>
    </w:p>
    <w:p>
      <w:pPr>
        <w:spacing w:after="0" w:line="116" w:lineRule="exact"/>
        <w:rPr>
          <w:rFonts w:ascii="Arial" w:cs="Arial" w:eastAsia="Arial" w:hAnsi="Arial"/>
          <w:sz w:val="16"/>
          <w:szCs w:val="16"/>
          <w:color w:val="auto"/>
        </w:rPr>
      </w:pPr>
    </w:p>
    <w:p>
      <w:pPr>
        <w:jc w:val="both"/>
        <w:ind w:left="1300" w:hanging="644"/>
        <w:spacing w:after="0" w:line="267" w:lineRule="auto"/>
        <w:tabs>
          <w:tab w:leader="none" w:pos="1270"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Without limiting immediately preceding Section 25, each Lender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(an </w:t>
      </w:r>
      <w:r>
        <w:rPr>
          <w:rFonts w:ascii="Arial" w:cs="Arial" w:eastAsia="Arial" w:hAnsi="Arial"/>
          <w:sz w:val="17"/>
          <w:szCs w:val="17"/>
          <w:b w:val="1"/>
          <w:bCs w:val="1"/>
          <w:color w:val="auto"/>
        </w:rPr>
        <w:t>“Erroneous Payment</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(y) that was not preceded or accompanied by an Erroneous Payment Notice, or (z) that such Lender otherwise becomes aware</w:t>
      </w:r>
      <w:r>
        <w:rPr>
          <w:rFonts w:ascii="Arial" w:cs="Arial" w:eastAsia="Arial" w:hAnsi="Arial"/>
          <w:sz w:val="17"/>
          <w:szCs w:val="17"/>
          <w:b w:val="1"/>
          <w:bCs w:val="1"/>
          <w:color w:val="auto"/>
        </w:rPr>
        <w:t xml:space="preserve"> </w:t>
      </w:r>
      <w:r>
        <w:rPr>
          <w:rFonts w:ascii="Arial" w:cs="Arial" w:eastAsia="Arial" w:hAnsi="Arial"/>
          <w:sz w:val="17"/>
          <w:szCs w:val="17"/>
          <w:color w:val="auto"/>
        </w:rPr>
        <w:t>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agrees that, in each such case, it shall promptly (and, in all events, within one (1) Business Day of its knowledge (or deemed knowledge) of such error) notify the Administrative Agent of such occurrence and, upon demand from the Administrative Agent, it shall promptly, but in all events no later than one (1)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w:t>
      </w:r>
    </w:p>
    <w:p>
      <w:pPr>
        <w:sectPr>
          <w:pgSz w:w="11900" w:h="16838" w:orient="portrait"/>
          <w:cols w:equalWidth="0" w:num="1">
            <w:col w:w="11240"/>
          </w:cols>
          <w:pgMar w:left="320" w:top="1417" w:right="339" w:bottom="1440" w:gutter="0" w:footer="0" w:header="0"/>
        </w:sectPr>
      </w:pPr>
    </w:p>
    <w:bookmarkStart w:id="55" w:name="page56"/>
    <w:bookmarkEnd w:id="55"/>
    <w:p>
      <w:pPr>
        <w:jc w:val="both"/>
        <w:ind w:left="1300" w:hanging="644"/>
        <w:spacing w:after="0" w:line="279" w:lineRule="auto"/>
        <w:tabs>
          <w:tab w:leader="none" w:pos="1262"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Borrower and each other Loan Party hereby agrees that (x) in the event an Erroneous Payment (or portion thereof) is not recovered from any Lender that has received such Erroneous Payment (or portion thereof) for any reason, the Administrative Agent shall be subrogated to all the rights of such Lender with respect to such amount and (y) an Erroneous Payment shall not pay, prepay, repay, discharge or otherwise satisfy any Accommodations Outstanding owed by a Borrower or any other Loan Party.</w:t>
      </w:r>
    </w:p>
    <w:p>
      <w:pPr>
        <w:spacing w:after="0" w:line="117" w:lineRule="exact"/>
        <w:rPr>
          <w:rFonts w:ascii="Arial" w:cs="Arial" w:eastAsia="Arial" w:hAnsi="Arial"/>
          <w:sz w:val="17"/>
          <w:szCs w:val="17"/>
          <w:color w:val="auto"/>
        </w:rPr>
      </w:pPr>
    </w:p>
    <w:p>
      <w:pPr>
        <w:jc w:val="both"/>
        <w:ind w:left="1300" w:hanging="644"/>
        <w:spacing w:after="0" w:line="263" w:lineRule="auto"/>
        <w:tabs>
          <w:tab w:leader="none" w:pos="12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party’s obligations under this Section 25 shall survive the resignation or replacement of the Administrative Agent, the termination of the Commitments or the repayment, satisfaction or discharge of all Accommodations Outstanding (or any portion thereof) under any Credit Document.”</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b w:val="1"/>
          <w:bCs w:val="1"/>
          <w:color w:val="auto"/>
        </w:rPr>
        <w:t>Notices</w:t>
      </w:r>
    </w:p>
    <w:p>
      <w:pPr>
        <w:spacing w:after="0" w:line="25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Schedules 1, 2, 3, 4, 5 and 8 of the Credit Agreement are hereby amended by deleting the Administrative Agent’s address and replacing it with the following:</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“TD North Tower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77 King Street West, 26th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Toronto, Ontario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M5K 1A2”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w:t>
      </w:r>
    </w:p>
    <w:p>
      <w:pPr>
        <w:spacing w:after="0" w:line="211"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Subject to the effectiveness of this Agreement pursuant to Article 6 below, the Lenders hereby waive any failure by the Borrowers prior the effectiveness of this Agreement to (i) comply with the reporting requirements referred to in Section 2.18 above insofar as such non-compliance is in respect of a reporting requirement which is no longer in effect as a result of this Agreement, and (ii) provide in their financial reporting a reconciliation between the financial covenants in the Credit Agreement before and after giving effect to IFRS 16, in accordance with the definition of “GAAP”.</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Representations and Warranties</w:t>
      </w:r>
    </w:p>
    <w:p>
      <w:pPr>
        <w:spacing w:after="0" w:line="17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Each of the Parent GP and the Loan Parties represents and warrants that the representations and warranties contained in Section 7.01 of the Credit Agreement continue to be true and correct as if made on and as of the date hereof except for those changes to the representations and warranties which have been disclosed to and accepted by the Administrative Agent and the Lenders pursuant to Section 18.01 of the Credit Agreement and any representation and warranty which is stated to be made only as of a certain date (and then as of such date). Each of the Parent GP and the Loan Parties further represents and warrants that:</w:t>
      </w:r>
    </w:p>
    <w:p>
      <w:pPr>
        <w:spacing w:after="0" w:line="134" w:lineRule="exact"/>
        <w:rPr>
          <w:sz w:val="20"/>
          <w:szCs w:val="20"/>
          <w:color w:val="auto"/>
        </w:rPr>
      </w:pPr>
    </w:p>
    <w:p>
      <w:pPr>
        <w:ind w:left="1220" w:hanging="564"/>
        <w:spacing w:after="0"/>
        <w:tabs>
          <w:tab w:leader="none" w:pos="1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or would exist after giving effect to the amendments contemplated hereto;</w:t>
      </w:r>
    </w:p>
    <w:p>
      <w:pPr>
        <w:spacing w:after="0" w:line="194" w:lineRule="exact"/>
        <w:rPr>
          <w:rFonts w:ascii="Arial" w:cs="Arial" w:eastAsia="Arial" w:hAnsi="Arial"/>
          <w:sz w:val="16"/>
          <w:szCs w:val="16"/>
          <w:color w:val="auto"/>
        </w:rPr>
      </w:pPr>
    </w:p>
    <w:p>
      <w:pPr>
        <w:ind w:left="1220" w:hanging="564"/>
        <w:spacing w:after="0"/>
        <w:tabs>
          <w:tab w:leader="none" w:pos="1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it has all requisite corporate, partnership or other power and authority to enter into and perform its obligations under this Agreement;</w:t>
      </w:r>
    </w:p>
    <w:p>
      <w:pPr>
        <w:spacing w:after="0" w:line="182" w:lineRule="exact"/>
        <w:rPr>
          <w:rFonts w:ascii="Arial" w:cs="Arial" w:eastAsia="Arial" w:hAnsi="Arial"/>
          <w:sz w:val="17"/>
          <w:szCs w:val="17"/>
          <w:color w:val="auto"/>
        </w:rPr>
      </w:pPr>
    </w:p>
    <w:p>
      <w:pPr>
        <w:jc w:val="both"/>
        <w:ind w:left="1300" w:hanging="644"/>
        <w:spacing w:after="0" w:line="259" w:lineRule="auto"/>
        <w:tabs>
          <w:tab w:leader="none" w:pos="13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has been duly authorized by all corporate, partnership or other analogous actions required and this Agreement has been duly executed and delivered by it, and constitutes a legal, valid and binding obligation enforceable against it in accordance with its terms, subject only to any limitations under Laws relating to (i) bankruptcy, insolvency, reorganization, moratorium or similar Laws affecting creditors’ rights</w:t>
      </w:r>
    </w:p>
    <w:p>
      <w:pPr>
        <w:sectPr>
          <w:pgSz w:w="11900" w:h="16838" w:orient="portrait"/>
          <w:cols w:equalWidth="0" w:num="1">
            <w:col w:w="11240"/>
          </w:cols>
          <w:pgMar w:left="320" w:top="1421" w:right="339" w:bottom="1440" w:gutter="0" w:footer="0" w:header="0"/>
        </w:sectPr>
      </w:pPr>
    </w:p>
    <w:bookmarkStart w:id="56" w:name="page57"/>
    <w:bookmarkEnd w:id="56"/>
    <w:p>
      <w:pPr>
        <w:ind w:left="1300"/>
        <w:spacing w:after="0"/>
        <w:rPr>
          <w:sz w:val="20"/>
          <w:szCs w:val="20"/>
          <w:color w:val="auto"/>
        </w:rPr>
      </w:pPr>
      <w:r>
        <w:rPr>
          <w:rFonts w:ascii="Arial" w:cs="Arial" w:eastAsia="Arial" w:hAnsi="Arial"/>
          <w:sz w:val="16"/>
          <w:szCs w:val="16"/>
          <w:color w:val="auto"/>
        </w:rPr>
        <w:t>generally; and (ii) general equitable principles including the discretion that a court may exercise in granting of equitable remedies; and</w:t>
      </w:r>
    </w:p>
    <w:p>
      <w:pPr>
        <w:spacing w:after="0" w:line="194" w:lineRule="exact"/>
        <w:rPr>
          <w:sz w:val="20"/>
          <w:szCs w:val="20"/>
          <w:color w:val="auto"/>
        </w:rPr>
      </w:pPr>
    </w:p>
    <w:p>
      <w:pPr>
        <w:jc w:val="both"/>
        <w:ind w:left="1300" w:hanging="644"/>
        <w:spacing w:after="0" w:line="254" w:lineRule="auto"/>
        <w:tabs>
          <w:tab w:leader="none" w:pos="12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performance of its obligations hereunder and compliance with the terms, conditions and provisions hereof, will not (i) conflict with or result in a breach of any of the material terms, conditions or provisions of (a) its partnership agreement or other constating documents, as applicable, or by laws, (b) any Law, (c) any Material Agreement or Material Permit, or (d) any judgment, injunction, determination or award which is binding on it; or (ii) result in, require or permit (x) the imposition of any Encumbrance in, on or with respect to the Assets now owned or hereafter acquired by it (other than pursuant to the Security Documents or which is a Permitted Encumbrance), (y) the acceleration of the maturity of any material Debt binding on or affecting it, or (z) any third party to terminate or acquire any rights materially adverse to Parent GP or the applicable Loan Party under any Material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CONFIRMATION OF SECURITY</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Confirmation of Security Documents</w:t>
      </w:r>
    </w:p>
    <w:p>
      <w:pPr>
        <w:spacing w:after="0" w:line="17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Each of the Parent GP, the Borrowers and the other Loan Parties hereby acknowledges and confirms that each Security Document to which it is a party:</w:t>
      </w:r>
    </w:p>
    <w:p>
      <w:pPr>
        <w:spacing w:after="0" w:line="116" w:lineRule="exact"/>
        <w:rPr>
          <w:sz w:val="20"/>
          <w:szCs w:val="20"/>
          <w:color w:val="auto"/>
        </w:rPr>
      </w:pPr>
    </w:p>
    <w:p>
      <w:pPr>
        <w:ind w:left="1300" w:hanging="644"/>
        <w:spacing w:after="0" w:line="277" w:lineRule="auto"/>
        <w:tabs>
          <w:tab w:leader="none" w:pos="10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and shall remain in full force and effect in all respects, notwithstanding the amendments and supplements to the Credit Agreement made pursuant to this Agreement, and has not been amended, terminated, discharged or released;</w:t>
      </w:r>
    </w:p>
    <w:p>
      <w:pPr>
        <w:spacing w:after="0" w:line="116"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constitutes a legal, valid and binding obligation of the undersigned, enforceable against the undersigned in accordance with its terms; and</w:t>
      </w:r>
    </w:p>
    <w:p>
      <w:pPr>
        <w:spacing w:after="0" w:line="194" w:lineRule="exact"/>
        <w:rPr>
          <w:rFonts w:ascii="Arial" w:cs="Arial" w:eastAsia="Arial" w:hAnsi="Arial"/>
          <w:sz w:val="16"/>
          <w:szCs w:val="16"/>
          <w:color w:val="auto"/>
        </w:rPr>
      </w:pPr>
    </w:p>
    <w:p>
      <w:pPr>
        <w:jc w:val="right"/>
        <w:ind w:left="1300" w:right="20" w:hanging="644"/>
        <w:spacing w:after="0" w:line="311" w:lineRule="auto"/>
        <w:tabs>
          <w:tab w:leader="none" w:pos="1038"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shall, together with that portion of the Security constituted thereby, continue to exist and apply to all of the Guaranteed Obligations and other obligations of the undersigned including, without limitation, any and all obligations, liabilities and indebtedness of the undersigned pursuant to Accommodations or otherwise outstanding under the Credit Agreement and the other Credit Documents to which it is a party.</w:t>
      </w:r>
    </w:p>
    <w:p>
      <w:pPr>
        <w:spacing w:after="0" w:line="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Nature of Acknowledgements</w:t>
      </w:r>
    </w:p>
    <w:p>
      <w:pPr>
        <w:spacing w:after="0" w:line="17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The foregoing acknowledgements and confirmations (i) are in addition to and shall not limit, derogate from or otherwise affect any provisions of the Credit Agreement or the other Credit Documents, and (ii) do not serve as an acknowledgment by any of the Lenders or the Administrative Agent that, in the event of a future change to the constitution of any Loan Party, any material change to the terms of the Credit Agreement or the other Credit Documents or any other change of circumstances, a similar acknowledgment and confirmation need be entered into.</w:t>
      </w:r>
    </w:p>
    <w:p>
      <w:pPr>
        <w:spacing w:after="0" w:line="19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Further Assurances</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parties hereto shall from time to time do all such further acts and things and execute and deliver all such documents as are required in order to effect the full intent of and fully perform and carry out the terms of this Agreement.</w:t>
      </w:r>
    </w:p>
    <w:p>
      <w:pPr>
        <w:sectPr>
          <w:pgSz w:w="11900" w:h="16838" w:orient="portrait"/>
          <w:cols w:equalWidth="0" w:num="1">
            <w:col w:w="11240"/>
          </w:cols>
          <w:pgMar w:left="320" w:top="1421" w:right="339" w:bottom="1440" w:gutter="0" w:footer="0" w:header="0"/>
        </w:sectPr>
      </w:pPr>
    </w:p>
    <w:bookmarkStart w:id="57" w:name="page58"/>
    <w:bookmarkEnd w:id="57"/>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effectiveness of this Agreement is subject to the satisfaction of the following conditions precedent:</w:t>
      </w:r>
    </w:p>
    <w:p>
      <w:pPr>
        <w:spacing w:after="0" w:line="171" w:lineRule="exact"/>
        <w:rPr>
          <w:sz w:val="20"/>
          <w:szCs w:val="20"/>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Administrative Agent shall have received a copy of this Agreement duly executed by all parties hereto;</w:t>
      </w:r>
    </w:p>
    <w:p>
      <w:pPr>
        <w:spacing w:after="0" w:line="225" w:lineRule="exact"/>
        <w:rPr>
          <w:rFonts w:ascii="Arial" w:cs="Arial" w:eastAsia="Arial" w:hAnsi="Arial"/>
          <w:sz w:val="18"/>
          <w:szCs w:val="18"/>
          <w:color w:val="auto"/>
        </w:rPr>
      </w:pPr>
    </w:p>
    <w:p>
      <w:pPr>
        <w:ind w:left="1300" w:hanging="644"/>
        <w:spacing w:after="0" w:line="277" w:lineRule="auto"/>
        <w:tabs>
          <w:tab w:leader="none" w:pos="113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Administrative Agent shall have received, on behalf of the Lenders, payment in full from the Borrowers of all fees relating to the Agreement;</w:t>
      </w:r>
    </w:p>
    <w:p>
      <w:pPr>
        <w:spacing w:after="0" w:line="116" w:lineRule="exact"/>
        <w:rPr>
          <w:rFonts w:ascii="Arial" w:cs="Arial" w:eastAsia="Arial" w:hAnsi="Arial"/>
          <w:sz w:val="18"/>
          <w:szCs w:val="18"/>
          <w:color w:val="auto"/>
        </w:rPr>
      </w:pPr>
    </w:p>
    <w:p>
      <w:pPr>
        <w:ind w:left="1300" w:hanging="644"/>
        <w:spacing w:after="0" w:line="286" w:lineRule="auto"/>
        <w:tabs>
          <w:tab w:leader="none" w:pos="1047"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of the Borrowers shall have delivered to the Administrative Agent evidence of the corporate or partnership authority of each such party to execute, deliver and perform its obligations under the Agreement, and, as applicable, all other agreements and documents executed by such party in connection therewith, all in form and substance satisfactory to the Administrative Agent and the Lenders;</w:t>
      </w:r>
    </w:p>
    <w:p>
      <w:pPr>
        <w:spacing w:after="0" w:line="111" w:lineRule="exact"/>
        <w:rPr>
          <w:rFonts w:ascii="Arial" w:cs="Arial" w:eastAsia="Arial" w:hAnsi="Arial"/>
          <w:sz w:val="17"/>
          <w:szCs w:val="17"/>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and</w:t>
      </w:r>
    </w:p>
    <w:p>
      <w:pPr>
        <w:spacing w:after="0" w:line="171" w:lineRule="exact"/>
        <w:rPr>
          <w:rFonts w:ascii="Arial" w:cs="Arial" w:eastAsia="Arial" w:hAnsi="Arial"/>
          <w:sz w:val="18"/>
          <w:szCs w:val="18"/>
          <w:color w:val="auto"/>
        </w:rPr>
      </w:pPr>
    </w:p>
    <w:p>
      <w:pPr>
        <w:ind w:left="1300" w:hanging="644"/>
        <w:spacing w:after="0" w:line="259" w:lineRule="auto"/>
        <w:tabs>
          <w:tab w:leader="none" w:pos="10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representations and warranties set out in the Credit Documents and this Agreement shall be true and correct as if made on and as of the date hereof except for those changes to the representations and warranties which have been disclosed to and accepted by the Administrative Agent and the Lenders pursuant to Section 18.01 of the Credit Agreement and any representation and warranty which is stated to be made only as of a certain date (and then as of such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Benefits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This Agreement shall be binding upon and shall inure to the benefit of the parties hereto and their respective permitted successors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References to the Credit Agreement</w:t>
      </w:r>
    </w:p>
    <w:p>
      <w:pPr>
        <w:spacing w:after="0" w:line="17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As of and from the effective date of this Agreement, each reference to the “Credit Agreement” in any of the Credit Documents (including the Credit Agreement) shall be deemed to be a reference to the Credit Agreement, as amended by this Agreement.</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Governing Law</w:t>
      </w:r>
    </w:p>
    <w:p>
      <w:pPr>
        <w:spacing w:after="0" w:line="17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This Agreement and the rights and obligations of the parties hereunder shall be construed in accordance with and governed by the laws of the Province of British Columbia and the federal laws of Canada applicable therein.</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Credit Document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Agreement shall be a Credit Document.</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Limited Effect</w:t>
      </w:r>
    </w:p>
    <w:p>
      <w:pPr>
        <w:spacing w:after="0" w:line="17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Except as expressly provided herein, all of the terms and provisions of the Credit Agreement are and shall remain in full force and effect and are hereby ratified and confirmed by the Borrowers.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Counterparts</w:t>
      </w:r>
    </w:p>
    <w:p>
      <w:pPr>
        <w:sectPr>
          <w:pgSz w:w="11900" w:h="16838" w:orient="portrait"/>
          <w:cols w:equalWidth="0" w:num="1">
            <w:col w:w="11240"/>
          </w:cols>
          <w:pgMar w:left="320" w:top="1440" w:right="339" w:bottom="1440" w:gutter="0" w:footer="0" w:header="0"/>
        </w:sectPr>
      </w:pPr>
    </w:p>
    <w:bookmarkStart w:id="58" w:name="page59"/>
    <w:bookmarkEnd w:id="58"/>
    <w:p>
      <w:pPr>
        <w:ind w:firstLine="1296"/>
        <w:spacing w:after="0" w:line="277" w:lineRule="auto"/>
        <w:rPr>
          <w:sz w:val="20"/>
          <w:szCs w:val="20"/>
          <w:color w:val="auto"/>
        </w:rPr>
      </w:pPr>
      <w:r>
        <w:rPr>
          <w:rFonts w:ascii="Arial" w:cs="Arial" w:eastAsia="Arial" w:hAnsi="Arial"/>
          <w:sz w:val="18"/>
          <w:szCs w:val="18"/>
          <w:color w:val="auto"/>
        </w:rPr>
        <w:t>This Agreement may be executed in any number of counterparts, including by facsimile or portable document format, each of which shall be deemed to be an original.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220"/>
          </w:cols>
          <w:pgMar w:left="320" w:top="1421" w:right="359" w:bottom="1440" w:gutter="0" w:footer="0" w:header="0"/>
        </w:sectPr>
      </w:pPr>
    </w:p>
    <w:bookmarkStart w:id="59" w:name="page60"/>
    <w:bookmarkEnd w:id="59"/>
    <w:p>
      <w:pPr>
        <w:ind w:left="180"/>
        <w:spacing w:after="0"/>
        <w:rPr>
          <w:sz w:val="20"/>
          <w:szCs w:val="20"/>
          <w:color w:val="auto"/>
        </w:rPr>
      </w:pPr>
      <w:r>
        <w:rPr>
          <w:rFonts w:ascii="Arial" w:cs="Arial" w:eastAsia="Arial" w:hAnsi="Arial"/>
          <w:sz w:val="18"/>
          <w:szCs w:val="18"/>
          <w:color w:val="auto"/>
        </w:rPr>
        <w:t>IN WITNESS WHEREOF, the parties hereto have caused this Agreement to be executed as of the date first above written.</w:t>
      </w:r>
    </w:p>
    <w:p>
      <w:pPr>
        <w:spacing w:after="0" w:line="200" w:lineRule="exact"/>
        <w:rPr>
          <w:sz w:val="20"/>
          <w:szCs w:val="20"/>
          <w:color w:val="auto"/>
        </w:rPr>
      </w:pPr>
    </w:p>
    <w:p>
      <w:pPr>
        <w:spacing w:after="0" w:line="26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WHISTLER MOUNTAIN RESORT LIMITED PARTNERSHIP</w:t>
      </w:r>
      <w:r>
        <w:rPr>
          <w:rFonts w:ascii="Arial" w:cs="Arial" w:eastAsia="Arial" w:hAnsi="Arial"/>
          <w:sz w:val="18"/>
          <w:szCs w:val="18"/>
          <w:color w:val="auto"/>
        </w:rPr>
        <w:t>,</w:t>
      </w:r>
    </w:p>
    <w:p>
      <w:pPr>
        <w:ind w:left="5080"/>
        <w:spacing w:after="0" w:line="203" w:lineRule="auto"/>
        <w:rPr>
          <w:sz w:val="20"/>
          <w:szCs w:val="20"/>
          <w:color w:val="auto"/>
        </w:rPr>
      </w:pPr>
      <w:r>
        <w:rPr>
          <w:rFonts w:ascii="Arial" w:cs="Arial" w:eastAsia="Arial" w:hAnsi="Arial"/>
          <w:sz w:val="18"/>
          <w:szCs w:val="18"/>
          <w:color w:val="auto"/>
        </w:rPr>
        <w:t xml:space="preserve">by its general partner, </w:t>
      </w:r>
      <w:r>
        <w:rPr>
          <w:rFonts w:ascii="Arial" w:cs="Arial" w:eastAsia="Arial" w:hAnsi="Arial"/>
          <w:sz w:val="18"/>
          <w:szCs w:val="18"/>
          <w:b w:val="1"/>
          <w:bCs w:val="1"/>
          <w:color w:val="auto"/>
        </w:rPr>
        <w:t>WHISTLER BLACKCOMB HOLDINGS</w:t>
      </w:r>
    </w:p>
    <w:p>
      <w:pPr>
        <w:ind w:left="5080"/>
        <w:spacing w:after="0"/>
        <w:rPr>
          <w:sz w:val="20"/>
          <w:szCs w:val="20"/>
          <w:color w:val="auto"/>
        </w:rPr>
      </w:pPr>
      <w:r>
        <w:rPr>
          <w:rFonts w:ascii="Arial" w:cs="Arial" w:eastAsia="Arial" w:hAnsi="Arial"/>
          <w:sz w:val="18"/>
          <w:szCs w:val="18"/>
          <w:b w:val="1"/>
          <w:bCs w:val="1"/>
          <w:color w:val="auto"/>
        </w:rPr>
        <w:t>INC.</w:t>
      </w:r>
      <w:r>
        <w:rPr>
          <w:rFonts w:ascii="Arial" w:cs="Arial" w:eastAsia="Arial" w:hAnsi="Arial"/>
          <w:sz w:val="18"/>
          <w:szCs w:val="18"/>
          <w:color w:val="auto"/>
        </w:rPr>
        <w:t>, as Borrower</w:t>
      </w:r>
    </w:p>
    <w:p>
      <w:pPr>
        <w:spacing w:after="0" w:line="236"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2837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Barkin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BLACKCOMB SKIING ENTERPRISES LIMITED</w:t>
      </w:r>
    </w:p>
    <w:p>
      <w:pPr>
        <w:ind w:left="5080"/>
        <w:spacing w:after="0" w:line="203" w:lineRule="auto"/>
        <w:rPr>
          <w:sz w:val="20"/>
          <w:szCs w:val="20"/>
          <w:color w:val="auto"/>
        </w:rPr>
      </w:pPr>
      <w:r>
        <w:rPr>
          <w:rFonts w:ascii="Arial" w:cs="Arial" w:eastAsia="Arial" w:hAnsi="Arial"/>
          <w:sz w:val="18"/>
          <w:szCs w:val="18"/>
          <w:b w:val="1"/>
          <w:bCs w:val="1"/>
          <w:color w:val="auto"/>
        </w:rPr>
        <w:t>PARTNERSHIP</w:t>
      </w:r>
      <w:r>
        <w:rPr>
          <w:rFonts w:ascii="Arial" w:cs="Arial" w:eastAsia="Arial" w:hAnsi="Arial"/>
          <w:sz w:val="18"/>
          <w:szCs w:val="18"/>
          <w:color w:val="auto"/>
        </w:rPr>
        <w:t>, by its general partner,</w:t>
      </w:r>
      <w:r>
        <w:rPr>
          <w:rFonts w:ascii="Arial" w:cs="Arial" w:eastAsia="Arial" w:hAnsi="Arial"/>
          <w:sz w:val="18"/>
          <w:szCs w:val="18"/>
          <w:b w:val="1"/>
          <w:bCs w:val="1"/>
          <w:color w:val="auto"/>
        </w:rPr>
        <w:t xml:space="preserve"> WHISTLER</w:t>
      </w:r>
    </w:p>
    <w:p>
      <w:pPr>
        <w:ind w:left="5080"/>
        <w:spacing w:after="0"/>
        <w:rPr>
          <w:sz w:val="20"/>
          <w:szCs w:val="20"/>
          <w:color w:val="auto"/>
        </w:rPr>
      </w:pPr>
      <w:r>
        <w:rPr>
          <w:rFonts w:ascii="Arial" w:cs="Arial" w:eastAsia="Arial" w:hAnsi="Arial"/>
          <w:sz w:val="18"/>
          <w:szCs w:val="18"/>
          <w:b w:val="1"/>
          <w:bCs w:val="1"/>
          <w:color w:val="auto"/>
        </w:rPr>
        <w:t>BLACKCOMB HOLDINGS INC.</w:t>
      </w:r>
      <w:r>
        <w:rPr>
          <w:rFonts w:ascii="Arial" w:cs="Arial" w:eastAsia="Arial" w:hAnsi="Arial"/>
          <w:sz w:val="18"/>
          <w:szCs w:val="18"/>
          <w:color w:val="auto"/>
        </w:rPr>
        <w:t>, as Borrower</w:t>
      </w:r>
    </w:p>
    <w:p>
      <w:pPr>
        <w:spacing w:after="0" w:line="236" w:lineRule="exact"/>
        <w:rPr>
          <w:sz w:val="20"/>
          <w:szCs w:val="20"/>
          <w:color w:val="auto"/>
        </w:rPr>
      </w:pPr>
    </w:p>
    <w:p>
      <w:pPr>
        <w:ind w:left="508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31750</wp:posOffset>
            </wp:positionV>
            <wp:extent cx="2802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EVP &amp; CFO</w:t>
      </w:r>
    </w:p>
    <w:p>
      <w:pPr>
        <w:sectPr>
          <w:pgSz w:w="11900" w:h="16838" w:orient="portrait"/>
          <w:cols w:equalWidth="0" w:num="1">
            <w:col w:w="10080"/>
          </w:cols>
          <w:pgMar w:left="1440" w:top="1421" w:right="379" w:bottom="1440" w:gutter="0" w:footer="0" w:header="0"/>
        </w:sectPr>
      </w:pPr>
    </w:p>
    <w:bookmarkStart w:id="60" w:name="page61"/>
    <w:bookmarkEnd w:id="60"/>
    <w:p>
      <w:pPr>
        <w:spacing w:after="0" w:line="329"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THE TORONTO-DOMINION BANK</w:t>
      </w:r>
      <w:r>
        <w:rPr>
          <w:rFonts w:ascii="Arial" w:cs="Arial" w:eastAsia="Arial" w:hAnsi="Arial"/>
          <w:sz w:val="17"/>
          <w:szCs w:val="17"/>
          <w:color w:val="auto"/>
        </w:rPr>
        <w:t>, as Administrative Agent</w:t>
      </w:r>
    </w:p>
    <w:p>
      <w:pPr>
        <w:spacing w:after="0" w:line="268" w:lineRule="exact"/>
        <w:rPr>
          <w:sz w:val="20"/>
          <w:szCs w:val="20"/>
          <w:color w:val="auto"/>
        </w:rPr>
      </w:pPr>
    </w:p>
    <w:p>
      <w:pPr>
        <w:ind w:left="492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Feroz Haq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31750</wp:posOffset>
            </wp:positionV>
            <wp:extent cx="29317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Feroz Haq</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Director Loan Syndications Agency</w:t>
      </w:r>
    </w:p>
    <w:p>
      <w:pPr>
        <w:sectPr>
          <w:pgSz w:w="11900" w:h="16838" w:orient="portrait"/>
          <w:cols w:equalWidth="0" w:num="1">
            <w:col w:w="9720"/>
          </w:cols>
          <w:pgMar w:left="1440" w:top="1440" w:right="739" w:bottom="1440" w:gutter="0" w:footer="0" w:header="0"/>
        </w:sectPr>
      </w:pPr>
    </w:p>
    <w:bookmarkStart w:id="61" w:name="page62"/>
    <w:bookmarkEnd w:id="61"/>
    <w:p>
      <w:pPr>
        <w:spacing w:after="0" w:line="12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THE TORONTO-DOMINION BANK</w:t>
      </w:r>
      <w:r>
        <w:rPr>
          <w:rFonts w:ascii="Arial" w:cs="Arial" w:eastAsia="Arial" w:hAnsi="Arial"/>
          <w:sz w:val="18"/>
          <w:szCs w:val="18"/>
          <w:color w:val="auto"/>
        </w:rPr>
        <w:t>, as Lender</w:t>
      </w:r>
    </w:p>
    <w:p>
      <w:pPr>
        <w:spacing w:after="0" w:line="283"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Rahim Kabani</w:t>
            </w:r>
          </w:p>
        </w:tc>
      </w:tr>
      <w:tr>
        <w:trPr>
          <w:trHeight w:val="27"/>
        </w:trPr>
        <w:tc>
          <w:tcPr>
            <w:tcW w:w="7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Rahim Kabani</w:t>
            </w:r>
          </w:p>
        </w:tc>
      </w:tr>
      <w:tr>
        <w:trPr>
          <w:trHeight w:val="270"/>
        </w:trPr>
        <w:tc>
          <w:tcPr>
            <w:tcW w:w="7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Ben Montgomery</w:t>
            </w:r>
          </w:p>
        </w:tc>
      </w:tr>
      <w:tr>
        <w:trPr>
          <w:trHeight w:val="27"/>
        </w:trPr>
        <w:tc>
          <w:tcPr>
            <w:tcW w:w="7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Ben Montgomery</w:t>
            </w:r>
          </w:p>
        </w:tc>
      </w:tr>
      <w:tr>
        <w:trPr>
          <w:trHeight w:val="270"/>
        </w:trPr>
        <w:tc>
          <w:tcPr>
            <w:tcW w:w="7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BANK OF AMERICA, N.A., CANADA BRANCH</w:t>
      </w:r>
      <w:r>
        <w:rPr>
          <w:rFonts w:ascii="Arial" w:cs="Arial" w:eastAsia="Arial" w:hAnsi="Arial"/>
          <w:sz w:val="18"/>
          <w:szCs w:val="18"/>
          <w:color w:val="auto"/>
        </w:rPr>
        <w:t>, as Lender</w:t>
      </w:r>
    </w:p>
    <w:p>
      <w:pPr>
        <w:spacing w:after="0" w:line="283" w:lineRule="exact"/>
        <w:rPr>
          <w:sz w:val="20"/>
          <w:szCs w:val="20"/>
          <w:color w:val="auto"/>
        </w:rPr>
      </w:pPr>
    </w:p>
    <w:p>
      <w:pPr>
        <w:ind w:left="492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Rafferty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31750</wp:posOffset>
            </wp:positionV>
            <wp:extent cx="28632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w:t>
      </w:r>
    </w:p>
    <w:p>
      <w:pPr>
        <w:spacing w:after="0" w:line="32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Lender</w:t>
      </w:r>
    </w:p>
    <w:p>
      <w:pPr>
        <w:spacing w:after="0" w:line="283"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Kyle Redford</w:t>
            </w:r>
          </w:p>
        </w:tc>
      </w:tr>
      <w:tr>
        <w:trPr>
          <w:trHeight w:val="27"/>
        </w:trPr>
        <w:tc>
          <w:tcPr>
            <w:tcW w:w="7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6"/>
        </w:trPr>
        <w:tc>
          <w:tcPr>
            <w:tcW w:w="7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Kyle Redford</w:t>
            </w:r>
          </w:p>
        </w:tc>
      </w:tr>
      <w:tr>
        <w:trPr>
          <w:trHeight w:val="270"/>
        </w:trPr>
        <w:tc>
          <w:tcPr>
            <w:tcW w:w="7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Tony Chong</w:t>
            </w:r>
          </w:p>
        </w:tc>
      </w:tr>
      <w:tr>
        <w:trPr>
          <w:trHeight w:val="27"/>
        </w:trPr>
        <w:tc>
          <w:tcPr>
            <w:tcW w:w="7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Tony Chong</w:t>
            </w:r>
          </w:p>
        </w:tc>
      </w:tr>
      <w:tr>
        <w:trPr>
          <w:trHeight w:val="270"/>
        </w:trPr>
        <w:tc>
          <w:tcPr>
            <w:tcW w:w="7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WELLS FARGO BANK, N.A., CANADIAN BRANCH</w:t>
      </w:r>
      <w:r>
        <w:rPr>
          <w:rFonts w:ascii="Arial" w:cs="Arial" w:eastAsia="Arial" w:hAnsi="Arial"/>
          <w:sz w:val="18"/>
          <w:szCs w:val="18"/>
          <w:color w:val="auto"/>
        </w:rPr>
        <w:t>, as Lender</w:t>
      </w:r>
    </w:p>
    <w:p>
      <w:pPr>
        <w:spacing w:after="0" w:line="283" w:lineRule="exact"/>
        <w:rPr>
          <w:sz w:val="20"/>
          <w:szCs w:val="20"/>
          <w:color w:val="auto"/>
        </w:rPr>
      </w:pPr>
    </w:p>
    <w:p>
      <w:pPr>
        <w:ind w:left="492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31750</wp:posOffset>
            </wp:positionV>
            <wp:extent cx="28632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Davis</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Vice-President</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Regional Manager</w:t>
      </w:r>
    </w:p>
    <w:p>
      <w:pPr>
        <w:spacing w:after="0" w:line="32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Lender</w:t>
      </w:r>
    </w:p>
    <w:p>
      <w:pPr>
        <w:spacing w:after="0" w:line="283"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Rehan Ali</w:t>
            </w:r>
          </w:p>
        </w:tc>
      </w:tr>
      <w:tr>
        <w:trPr>
          <w:trHeight w:val="27"/>
        </w:trPr>
        <w:tc>
          <w:tcPr>
            <w:tcW w:w="7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Rehan Ali</w:t>
            </w:r>
          </w:p>
        </w:tc>
      </w:tr>
      <w:tr>
        <w:trPr>
          <w:trHeight w:val="270"/>
        </w:trPr>
        <w:tc>
          <w:tcPr>
            <w:tcW w:w="7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Vice President, Corporate Client Group</w:t>
            </w:r>
          </w:p>
        </w:tc>
      </w:tr>
    </w:tbl>
    <w:p>
      <w:pPr>
        <w:sectPr>
          <w:pgSz w:w="11900" w:h="16838" w:orient="portrait"/>
          <w:cols w:equalWidth="0" w:num="1">
            <w:col w:w="10120"/>
          </w:cols>
          <w:pgMar w:left="1440" w:top="1440" w:right="339" w:bottom="1440" w:gutter="0" w:footer="0" w:header="0"/>
        </w:sectPr>
      </w:pPr>
    </w:p>
    <w:bookmarkStart w:id="62" w:name="page63"/>
    <w:bookmarkEnd w:id="62"/>
    <w:p>
      <w:pPr>
        <w:spacing w:after="0" w:line="12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CANADIAN IMPERIAL BANK OF COMMERCE</w:t>
      </w:r>
      <w:r>
        <w:rPr>
          <w:rFonts w:ascii="Arial" w:cs="Arial" w:eastAsia="Arial" w:hAnsi="Arial"/>
          <w:sz w:val="18"/>
          <w:szCs w:val="18"/>
          <w:color w:val="auto"/>
        </w:rPr>
        <w:t>, as Lender</w:t>
      </w:r>
    </w:p>
    <w:p>
      <w:pPr>
        <w:spacing w:after="0" w:line="283"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Ben Fallico</w:t>
            </w:r>
          </w:p>
        </w:tc>
      </w:tr>
      <w:tr>
        <w:trPr>
          <w:trHeight w:val="27"/>
        </w:trPr>
        <w:tc>
          <w:tcPr>
            <w:tcW w:w="7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Ben Fallico</w:t>
            </w:r>
          </w:p>
        </w:tc>
      </w:tr>
      <w:tr>
        <w:trPr>
          <w:trHeight w:val="270"/>
        </w:trPr>
        <w:tc>
          <w:tcPr>
            <w:tcW w:w="7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Iris Zhou</w:t>
            </w:r>
          </w:p>
        </w:tc>
      </w:tr>
      <w:tr>
        <w:trPr>
          <w:trHeight w:val="27"/>
        </w:trPr>
        <w:tc>
          <w:tcPr>
            <w:tcW w:w="7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Iris Zhou</w:t>
            </w:r>
          </w:p>
        </w:tc>
      </w:tr>
      <w:tr>
        <w:trPr>
          <w:trHeight w:val="270"/>
        </w:trPr>
        <w:tc>
          <w:tcPr>
            <w:tcW w:w="7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30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FÉDÉRATION DES CAISSES DESJARDINS DU QUÉBEC</w:t>
      </w:r>
      <w:r>
        <w:rPr>
          <w:rFonts w:ascii="Arial" w:cs="Arial" w:eastAsia="Arial" w:hAnsi="Arial"/>
          <w:sz w:val="18"/>
          <w:szCs w:val="18"/>
          <w:color w:val="auto"/>
        </w:rPr>
        <w:t>, as</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Lender</w:t>
      </w:r>
    </w:p>
    <w:p>
      <w:pPr>
        <w:spacing w:after="0" w:line="265"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Oliver Sumugod</w:t>
            </w:r>
          </w:p>
        </w:tc>
      </w:tr>
      <w:tr>
        <w:trPr>
          <w:trHeight w:val="27"/>
        </w:trPr>
        <w:tc>
          <w:tcPr>
            <w:tcW w:w="7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Oliver Sumugod</w:t>
            </w:r>
          </w:p>
        </w:tc>
      </w:tr>
      <w:tr>
        <w:trPr>
          <w:trHeight w:val="270"/>
        </w:trPr>
        <w:tc>
          <w:tcPr>
            <w:tcW w:w="7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Matt van Remmen</w:t>
            </w:r>
          </w:p>
        </w:tc>
      </w:tr>
      <w:tr>
        <w:trPr>
          <w:trHeight w:val="27"/>
        </w:trPr>
        <w:tc>
          <w:tcPr>
            <w:tcW w:w="7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Matt van Remmen</w:t>
            </w:r>
          </w:p>
        </w:tc>
      </w:tr>
      <w:tr>
        <w:trPr>
          <w:trHeight w:val="270"/>
        </w:trPr>
        <w:tc>
          <w:tcPr>
            <w:tcW w:w="7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30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HSBC BANK CANADA</w:t>
      </w:r>
      <w:r>
        <w:rPr>
          <w:rFonts w:ascii="Arial" w:cs="Arial" w:eastAsia="Arial" w:hAnsi="Arial"/>
          <w:sz w:val="18"/>
          <w:szCs w:val="18"/>
          <w:color w:val="auto"/>
        </w:rPr>
        <w:t>, as Lender</w:t>
      </w:r>
    </w:p>
    <w:p>
      <w:pPr>
        <w:spacing w:after="0" w:line="283" w:lineRule="exact"/>
        <w:rPr>
          <w:sz w:val="20"/>
          <w:szCs w:val="20"/>
          <w:color w:val="auto"/>
        </w:rPr>
      </w:pPr>
    </w:p>
    <w:tbl>
      <w:tblPr>
        <w:tblLayout w:type="fixed"/>
        <w:tblInd w:w="4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Doug Remington</w:t>
            </w:r>
          </w:p>
        </w:tc>
      </w:tr>
      <w:tr>
        <w:trPr>
          <w:trHeight w:val="27"/>
        </w:trPr>
        <w:tc>
          <w:tcPr>
            <w:tcW w:w="7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Doug Remington</w:t>
            </w:r>
          </w:p>
        </w:tc>
      </w:tr>
      <w:tr>
        <w:trPr>
          <w:trHeight w:val="270"/>
        </w:trPr>
        <w:tc>
          <w:tcPr>
            <w:tcW w:w="7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AVP</w:t>
            </w:r>
          </w:p>
        </w:tc>
      </w:tr>
      <w:tr>
        <w:trPr>
          <w:trHeight w:val="54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Hai Pham</w:t>
            </w:r>
          </w:p>
        </w:tc>
      </w:tr>
      <w:tr>
        <w:trPr>
          <w:trHeight w:val="27"/>
        </w:trPr>
        <w:tc>
          <w:tcPr>
            <w:tcW w:w="70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Hai Pham</w:t>
            </w:r>
          </w:p>
        </w:tc>
      </w:tr>
      <w:tr>
        <w:trPr>
          <w:trHeight w:val="270"/>
        </w:trPr>
        <w:tc>
          <w:tcPr>
            <w:tcW w:w="70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Country Head of ISB</w:t>
            </w:r>
          </w:p>
        </w:tc>
      </w:tr>
    </w:tbl>
    <w:p>
      <w:pPr>
        <w:sectPr>
          <w:pgSz w:w="11900" w:h="16838" w:orient="portrait"/>
          <w:cols w:equalWidth="0" w:num="1">
            <w:col w:w="10120"/>
          </w:cols>
          <w:pgMar w:left="1440" w:top="1440" w:right="339" w:bottom="1440" w:gutter="0" w:footer="0" w:header="0"/>
        </w:sectPr>
      </w:pPr>
    </w:p>
    <w:bookmarkStart w:id="63" w:name="page64"/>
    <w:bookmarkEnd w:id="63"/>
    <w:p>
      <w:pPr>
        <w:spacing w:after="0" w:line="31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WHISTLER MOUNTAIN RESORT LIMITED PARTNERSHIP</w:t>
      </w:r>
      <w:r>
        <w:rPr>
          <w:rFonts w:ascii="Arial" w:cs="Arial" w:eastAsia="Arial" w:hAnsi="Arial"/>
          <w:sz w:val="18"/>
          <w:szCs w:val="18"/>
          <w:color w:val="auto"/>
        </w:rPr>
        <w:t>,</w:t>
      </w:r>
    </w:p>
    <w:p>
      <w:pPr>
        <w:ind w:left="4920"/>
        <w:spacing w:after="0" w:line="203" w:lineRule="auto"/>
        <w:rPr>
          <w:sz w:val="20"/>
          <w:szCs w:val="20"/>
          <w:color w:val="auto"/>
        </w:rPr>
      </w:pPr>
      <w:r>
        <w:rPr>
          <w:rFonts w:ascii="Arial" w:cs="Arial" w:eastAsia="Arial" w:hAnsi="Arial"/>
          <w:sz w:val="18"/>
          <w:szCs w:val="18"/>
          <w:color w:val="auto"/>
        </w:rPr>
        <w:t xml:space="preserve">by its general partner, </w:t>
      </w:r>
      <w:r>
        <w:rPr>
          <w:rFonts w:ascii="Arial" w:cs="Arial" w:eastAsia="Arial" w:hAnsi="Arial"/>
          <w:sz w:val="18"/>
          <w:szCs w:val="18"/>
          <w:b w:val="1"/>
          <w:bCs w:val="1"/>
          <w:color w:val="auto"/>
        </w:rPr>
        <w:t>WHISTLER BLACKCOMB HOLDINGS</w:t>
      </w:r>
    </w:p>
    <w:p>
      <w:pPr>
        <w:ind w:left="4920"/>
        <w:spacing w:after="0"/>
        <w:rPr>
          <w:sz w:val="20"/>
          <w:szCs w:val="20"/>
          <w:color w:val="auto"/>
        </w:rPr>
      </w:pPr>
      <w:r>
        <w:rPr>
          <w:rFonts w:ascii="Arial" w:cs="Arial" w:eastAsia="Arial" w:hAnsi="Arial"/>
          <w:sz w:val="18"/>
          <w:szCs w:val="18"/>
          <w:b w:val="1"/>
          <w:bCs w:val="1"/>
          <w:color w:val="auto"/>
        </w:rPr>
        <w:t>INC.</w:t>
      </w:r>
      <w:r>
        <w:rPr>
          <w:rFonts w:ascii="Arial" w:cs="Arial" w:eastAsia="Arial" w:hAnsi="Arial"/>
          <w:sz w:val="18"/>
          <w:szCs w:val="18"/>
          <w:color w:val="auto"/>
        </w:rPr>
        <w:t>, as Guarantor</w:t>
      </w:r>
    </w:p>
    <w:p>
      <w:pPr>
        <w:spacing w:after="0" w:line="23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BLACKCOMB SKIING ENTERPRISES LIMITED</w:t>
      </w:r>
    </w:p>
    <w:p>
      <w:pPr>
        <w:ind w:left="4920"/>
        <w:spacing w:after="0" w:line="203" w:lineRule="auto"/>
        <w:rPr>
          <w:sz w:val="20"/>
          <w:szCs w:val="20"/>
          <w:color w:val="auto"/>
        </w:rPr>
      </w:pPr>
      <w:r>
        <w:rPr>
          <w:rFonts w:ascii="Arial" w:cs="Arial" w:eastAsia="Arial" w:hAnsi="Arial"/>
          <w:sz w:val="18"/>
          <w:szCs w:val="18"/>
          <w:b w:val="1"/>
          <w:bCs w:val="1"/>
          <w:color w:val="auto"/>
        </w:rPr>
        <w:t>PARTNERSHIP</w:t>
      </w:r>
      <w:r>
        <w:rPr>
          <w:rFonts w:ascii="Arial" w:cs="Arial" w:eastAsia="Arial" w:hAnsi="Arial"/>
          <w:sz w:val="18"/>
          <w:szCs w:val="18"/>
          <w:color w:val="auto"/>
        </w:rPr>
        <w:t>, by its general partner,</w:t>
      </w:r>
      <w:r>
        <w:rPr>
          <w:rFonts w:ascii="Arial" w:cs="Arial" w:eastAsia="Arial" w:hAnsi="Arial"/>
          <w:sz w:val="18"/>
          <w:szCs w:val="18"/>
          <w:b w:val="1"/>
          <w:bCs w:val="1"/>
          <w:color w:val="auto"/>
        </w:rPr>
        <w:t xml:space="preserve"> WHISTLER</w:t>
      </w:r>
    </w:p>
    <w:p>
      <w:pPr>
        <w:ind w:left="4920"/>
        <w:spacing w:after="0"/>
        <w:rPr>
          <w:sz w:val="20"/>
          <w:szCs w:val="20"/>
          <w:color w:val="auto"/>
        </w:rPr>
      </w:pPr>
      <w:r>
        <w:rPr>
          <w:rFonts w:ascii="Arial" w:cs="Arial" w:eastAsia="Arial" w:hAnsi="Arial"/>
          <w:sz w:val="18"/>
          <w:szCs w:val="18"/>
          <w:b w:val="1"/>
          <w:bCs w:val="1"/>
          <w:color w:val="auto"/>
        </w:rPr>
        <w:t>BLACKCOMB HOLDINGS INC.</w:t>
      </w:r>
      <w:r>
        <w:rPr>
          <w:rFonts w:ascii="Arial" w:cs="Arial" w:eastAsia="Arial" w:hAnsi="Arial"/>
          <w:sz w:val="18"/>
          <w:szCs w:val="18"/>
          <w:color w:val="auto"/>
        </w:rPr>
        <w:t>, as Guarantor</w:t>
      </w:r>
    </w:p>
    <w:p>
      <w:pPr>
        <w:spacing w:after="0" w:line="23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WHISTLER BLACKCOMB HOLDINGS INC.</w:t>
      </w:r>
      <w:r>
        <w:rPr>
          <w:rFonts w:ascii="Arial" w:cs="Arial" w:eastAsia="Arial" w:hAnsi="Arial"/>
          <w:sz w:val="18"/>
          <w:szCs w:val="18"/>
          <w:color w:val="auto"/>
        </w:rPr>
        <w:t>, as Guarantor</w:t>
      </w:r>
    </w:p>
    <w:p>
      <w:pPr>
        <w:spacing w:after="0" w:line="25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WHISTLER &amp; BLACKCOMB MOUNTAIN RESORTS</w:t>
      </w:r>
    </w:p>
    <w:p>
      <w:pPr>
        <w:ind w:left="4920"/>
        <w:spacing w:after="0"/>
        <w:rPr>
          <w:sz w:val="20"/>
          <w:szCs w:val="20"/>
          <w:color w:val="auto"/>
        </w:rPr>
      </w:pPr>
      <w:r>
        <w:rPr>
          <w:rFonts w:ascii="Arial" w:cs="Arial" w:eastAsia="Arial" w:hAnsi="Arial"/>
          <w:sz w:val="18"/>
          <w:szCs w:val="18"/>
          <w:b w:val="1"/>
          <w:bCs w:val="1"/>
          <w:color w:val="auto"/>
        </w:rPr>
        <w:t>LIMITED</w:t>
      </w:r>
      <w:r>
        <w:rPr>
          <w:rFonts w:ascii="Arial" w:cs="Arial" w:eastAsia="Arial" w:hAnsi="Arial"/>
          <w:sz w:val="18"/>
          <w:szCs w:val="18"/>
          <w:color w:val="auto"/>
        </w:rPr>
        <w:t>, as Guarantor</w:t>
      </w:r>
    </w:p>
    <w:p>
      <w:pPr>
        <w:spacing w:after="0" w:line="23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PEAK TO CREEK LODGING COMPANY LTD.</w:t>
      </w:r>
      <w:r>
        <w:rPr>
          <w:rFonts w:ascii="Arial" w:cs="Arial" w:eastAsia="Arial" w:hAnsi="Arial"/>
          <w:sz w:val="18"/>
          <w:szCs w:val="18"/>
          <w:color w:val="auto"/>
        </w:rPr>
        <w:t>, as Guarantor</w:t>
      </w:r>
    </w:p>
    <w:p>
      <w:pPr>
        <w:spacing w:after="0" w:line="25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BLACKCOMB MOUNTAIN DEVELOPMENT LTD.</w:t>
      </w:r>
      <w:r>
        <w:rPr>
          <w:rFonts w:ascii="Arial" w:cs="Arial" w:eastAsia="Arial" w:hAnsi="Arial"/>
          <w:sz w:val="17"/>
          <w:szCs w:val="17"/>
          <w:color w:val="auto"/>
        </w:rPr>
        <w:t>, as Guarantor</w:t>
      </w:r>
    </w:p>
    <w:p>
      <w:pPr>
        <w:spacing w:after="0" w:line="268"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ectPr>
          <w:pgSz w:w="11900" w:h="16838" w:orient="portrait"/>
          <w:cols w:equalWidth="0" w:num="1">
            <w:col w:w="10080"/>
          </w:cols>
          <w:pgMar w:left="1440" w:top="1440" w:right="379" w:bottom="1440" w:gutter="0" w:footer="0" w:header="0"/>
        </w:sectPr>
      </w:pPr>
    </w:p>
    <w:bookmarkStart w:id="64" w:name="page65"/>
    <w:bookmarkEnd w:id="64"/>
    <w:p>
      <w:pPr>
        <w:spacing w:after="0" w:line="200" w:lineRule="exact"/>
        <w:rPr>
          <w:sz w:val="20"/>
          <w:szCs w:val="20"/>
          <w:color w:val="auto"/>
        </w:rPr>
      </w:pPr>
    </w:p>
    <w:p>
      <w:pPr>
        <w:spacing w:after="0" w:line="37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GARIBALDI LIFTS LTD.</w:t>
      </w:r>
      <w:r>
        <w:rPr>
          <w:rFonts w:ascii="Arial" w:cs="Arial" w:eastAsia="Arial" w:hAnsi="Arial"/>
          <w:sz w:val="18"/>
          <w:szCs w:val="18"/>
          <w:color w:val="auto"/>
        </w:rPr>
        <w:t>, as Guarantor</w:t>
      </w:r>
    </w:p>
    <w:p>
      <w:pPr>
        <w:spacing w:after="0" w:line="25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WHISTLER BLACKCOMB EMPLOYMENT CORP.</w:t>
      </w:r>
      <w:r>
        <w:rPr>
          <w:rFonts w:ascii="Arial" w:cs="Arial" w:eastAsia="Arial" w:hAnsi="Arial"/>
          <w:sz w:val="18"/>
          <w:szCs w:val="18"/>
          <w:color w:val="auto"/>
        </w:rPr>
        <w:t>, as</w:t>
      </w:r>
    </w:p>
    <w:p>
      <w:pPr>
        <w:ind w:left="4920"/>
        <w:spacing w:after="0"/>
        <w:rPr>
          <w:sz w:val="20"/>
          <w:szCs w:val="20"/>
          <w:color w:val="auto"/>
        </w:rPr>
      </w:pPr>
      <w:r>
        <w:rPr>
          <w:rFonts w:ascii="Arial" w:cs="Arial" w:eastAsia="Arial" w:hAnsi="Arial"/>
          <w:sz w:val="18"/>
          <w:szCs w:val="18"/>
          <w:color w:val="auto"/>
        </w:rPr>
        <w:t>Guarantor</w:t>
      </w:r>
    </w:p>
    <w:p>
      <w:pPr>
        <w:spacing w:after="0" w:line="23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WHISTLER/BLACKCOMB MOUNTAIN EMPLOYEE</w:t>
      </w:r>
    </w:p>
    <w:p>
      <w:pPr>
        <w:ind w:left="4920"/>
        <w:spacing w:after="0"/>
        <w:rPr>
          <w:sz w:val="20"/>
          <w:szCs w:val="20"/>
          <w:color w:val="auto"/>
        </w:rPr>
      </w:pPr>
      <w:r>
        <w:rPr>
          <w:rFonts w:ascii="Arial" w:cs="Arial" w:eastAsia="Arial" w:hAnsi="Arial"/>
          <w:sz w:val="18"/>
          <w:szCs w:val="18"/>
          <w:b w:val="1"/>
          <w:bCs w:val="1"/>
          <w:color w:val="auto"/>
        </w:rPr>
        <w:t>HOUSING LTD.</w:t>
      </w:r>
      <w:r>
        <w:rPr>
          <w:rFonts w:ascii="Arial" w:cs="Arial" w:eastAsia="Arial" w:hAnsi="Arial"/>
          <w:sz w:val="18"/>
          <w:szCs w:val="18"/>
          <w:color w:val="auto"/>
        </w:rPr>
        <w:t>, as Guarantor</w:t>
      </w:r>
    </w:p>
    <w:p>
      <w:pPr>
        <w:spacing w:after="0" w:line="23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WHISTLER SKI SCHOOL LTD.</w:t>
      </w:r>
      <w:r>
        <w:rPr>
          <w:rFonts w:ascii="Arial" w:cs="Arial" w:eastAsia="Arial" w:hAnsi="Arial"/>
          <w:sz w:val="18"/>
          <w:szCs w:val="18"/>
          <w:color w:val="auto"/>
        </w:rPr>
        <w:t>, as Guarantor</w:t>
      </w:r>
    </w:p>
    <w:p>
      <w:pPr>
        <w:spacing w:after="0" w:line="25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WHISTLER HELI-SKIING LTD.</w:t>
      </w:r>
      <w:r>
        <w:rPr>
          <w:rFonts w:ascii="Arial" w:cs="Arial" w:eastAsia="Arial" w:hAnsi="Arial"/>
          <w:sz w:val="18"/>
          <w:szCs w:val="18"/>
          <w:color w:val="auto"/>
        </w:rPr>
        <w:t>, as Guarantor</w:t>
      </w:r>
    </w:p>
    <w:p>
      <w:pPr>
        <w:spacing w:after="0" w:line="25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PEAK TO CREEK HOLDINGS CORP.</w:t>
      </w:r>
      <w:r>
        <w:rPr>
          <w:rFonts w:ascii="Arial" w:cs="Arial" w:eastAsia="Arial" w:hAnsi="Arial"/>
          <w:sz w:val="18"/>
          <w:szCs w:val="18"/>
          <w:color w:val="auto"/>
        </w:rPr>
        <w:t>, as Guarantor</w:t>
      </w:r>
    </w:p>
    <w:p>
      <w:pPr>
        <w:spacing w:after="0" w:line="25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ectPr>
          <w:pgSz w:w="11900" w:h="16838" w:orient="portrait"/>
          <w:cols w:equalWidth="0" w:num="1">
            <w:col w:w="9340"/>
          </w:cols>
          <w:pgMar w:left="1440" w:top="1440" w:right="1119" w:bottom="1440" w:gutter="0" w:footer="0" w:header="0"/>
        </w:sectPr>
      </w:pPr>
    </w:p>
    <w:bookmarkStart w:id="65" w:name="page66"/>
    <w:bookmarkEnd w:id="65"/>
    <w:p>
      <w:pPr>
        <w:spacing w:after="0" w:line="32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WB LAND INC.</w:t>
      </w:r>
      <w:r>
        <w:rPr>
          <w:rFonts w:ascii="Arial" w:cs="Arial" w:eastAsia="Arial" w:hAnsi="Arial"/>
          <w:sz w:val="18"/>
          <w:szCs w:val="18"/>
          <w:color w:val="auto"/>
        </w:rPr>
        <w:t>, as Guarantor</w:t>
      </w:r>
    </w:p>
    <w:p>
      <w:pPr>
        <w:spacing w:after="0" w:line="25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WHISTLER BLACKCOMB GENERAL PARTNER LTD.</w:t>
      </w:r>
      <w:r>
        <w:rPr>
          <w:rFonts w:ascii="Arial" w:cs="Arial" w:eastAsia="Arial" w:hAnsi="Arial"/>
          <w:sz w:val="18"/>
          <w:szCs w:val="18"/>
          <w:color w:val="auto"/>
        </w:rPr>
        <w:t>, as</w:t>
      </w:r>
    </w:p>
    <w:p>
      <w:pPr>
        <w:ind w:left="4920"/>
        <w:spacing w:after="0"/>
        <w:rPr>
          <w:sz w:val="20"/>
          <w:szCs w:val="20"/>
          <w:color w:val="auto"/>
        </w:rPr>
      </w:pPr>
      <w:r>
        <w:rPr>
          <w:rFonts w:ascii="Arial" w:cs="Arial" w:eastAsia="Arial" w:hAnsi="Arial"/>
          <w:sz w:val="18"/>
          <w:szCs w:val="18"/>
          <w:color w:val="auto"/>
        </w:rPr>
        <w:t>Guarantor</w:t>
      </w:r>
    </w:p>
    <w:p>
      <w:pPr>
        <w:spacing w:after="0" w:line="23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WB/T DEVELOPMENT LTD.</w:t>
      </w:r>
      <w:r>
        <w:rPr>
          <w:rFonts w:ascii="Arial" w:cs="Arial" w:eastAsia="Arial" w:hAnsi="Arial"/>
          <w:sz w:val="18"/>
          <w:szCs w:val="18"/>
          <w:color w:val="auto"/>
        </w:rPr>
        <w:t>, as Guarantor</w:t>
      </w:r>
    </w:p>
    <w:p>
      <w:pPr>
        <w:spacing w:after="0" w:line="25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BLACKCOMB SKIING ENTERPRISES LTD.</w:t>
      </w:r>
      <w:r>
        <w:rPr>
          <w:rFonts w:ascii="Arial" w:cs="Arial" w:eastAsia="Arial" w:hAnsi="Arial"/>
          <w:sz w:val="18"/>
          <w:szCs w:val="18"/>
          <w:color w:val="auto"/>
        </w:rPr>
        <w:t>, as Guarantor</w:t>
      </w:r>
    </w:p>
    <w:p>
      <w:pPr>
        <w:spacing w:after="0" w:line="25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AFFINITY SNOWSPORTS INC.</w:t>
      </w:r>
      <w:r>
        <w:rPr>
          <w:rFonts w:ascii="Arial" w:cs="Arial" w:eastAsia="Arial" w:hAnsi="Arial"/>
          <w:sz w:val="18"/>
          <w:szCs w:val="18"/>
          <w:color w:val="auto"/>
        </w:rPr>
        <w:t>, as Guarantor</w:t>
      </w:r>
    </w:p>
    <w:p>
      <w:pPr>
        <w:spacing w:after="0" w:line="243"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151765</wp:posOffset>
            </wp:positionV>
            <wp:extent cx="27774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4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WHISTLER ALPINE CLUB INC.</w:t>
      </w:r>
      <w:r>
        <w:rPr>
          <w:rFonts w:ascii="Arial" w:cs="Arial" w:eastAsia="Arial" w:hAnsi="Arial"/>
          <w:sz w:val="18"/>
          <w:szCs w:val="18"/>
          <w:color w:val="auto"/>
        </w:rPr>
        <w:t>, as Guarantor</w:t>
      </w:r>
    </w:p>
    <w:p>
      <w:pPr>
        <w:spacing w:after="0" w:line="25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WB LAND (CREEKSIDE SNOW SCHOOL) INC.</w:t>
      </w:r>
      <w:r>
        <w:rPr>
          <w:rFonts w:ascii="Arial" w:cs="Arial" w:eastAsia="Arial" w:hAnsi="Arial"/>
          <w:sz w:val="17"/>
          <w:szCs w:val="17"/>
          <w:color w:val="auto"/>
        </w:rPr>
        <w:t>, as Guarantor</w:t>
      </w:r>
    </w:p>
    <w:p>
      <w:pPr>
        <w:spacing w:after="0" w:line="268"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ectPr>
          <w:pgSz w:w="11900" w:h="16838" w:orient="portrait"/>
          <w:cols w:equalWidth="0" w:num="1">
            <w:col w:w="9840"/>
          </w:cols>
          <w:pgMar w:left="1440" w:top="1440" w:right="619" w:bottom="1440" w:gutter="0" w:footer="0" w:header="0"/>
        </w:sectPr>
      </w:pPr>
    </w:p>
    <w:bookmarkStart w:id="66" w:name="page67"/>
    <w:bookmarkEnd w:id="66"/>
    <w:p>
      <w:pPr>
        <w:spacing w:after="0" w:line="200" w:lineRule="exact"/>
        <w:rPr>
          <w:sz w:val="20"/>
          <w:szCs w:val="20"/>
          <w:color w:val="auto"/>
        </w:rPr>
      </w:pPr>
    </w:p>
    <w:p>
      <w:pPr>
        <w:spacing w:after="0" w:line="37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1016563 B.C. LTD.</w:t>
      </w:r>
      <w:r>
        <w:rPr>
          <w:rFonts w:ascii="Arial" w:cs="Arial" w:eastAsia="Arial" w:hAnsi="Arial"/>
          <w:sz w:val="18"/>
          <w:szCs w:val="18"/>
          <w:color w:val="auto"/>
        </w:rPr>
        <w:t>, as Guarantor</w:t>
      </w:r>
    </w:p>
    <w:p>
      <w:pPr>
        <w:spacing w:after="0" w:line="256"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SUMMIT SKI LIMITED</w:t>
      </w:r>
      <w:r>
        <w:rPr>
          <w:rFonts w:ascii="Arial" w:cs="Arial" w:eastAsia="Arial" w:hAnsi="Arial"/>
          <w:sz w:val="17"/>
          <w:szCs w:val="17"/>
          <w:color w:val="auto"/>
        </w:rPr>
        <w:t>, as Guarantor</w:t>
      </w:r>
    </w:p>
    <w:p>
      <w:pPr>
        <w:spacing w:after="0" w:line="268" w:lineRule="exact"/>
        <w:rPr>
          <w:sz w:val="20"/>
          <w:szCs w:val="20"/>
          <w:color w:val="auto"/>
        </w:rPr>
      </w:pPr>
    </w:p>
    <w:p>
      <w:pPr>
        <w:ind w:left="49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EVP &amp; CFO</w:t>
      </w:r>
    </w:p>
    <w:p>
      <w:pPr>
        <w:sectPr>
          <w:pgSz w:w="11900" w:h="16838" w:orient="portrait"/>
          <w:cols w:equalWidth="0" w:num="1">
            <w:col w:w="9019"/>
          </w:cols>
          <w:pgMar w:left="1440" w:top="1440"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Kirsten A. Lynch, certify that:</w:t>
      </w:r>
    </w:p>
    <w:p>
      <w:pPr>
        <w:spacing w:after="0" w:line="387" w:lineRule="exact"/>
        <w:rPr>
          <w:sz w:val="20"/>
          <w:szCs w:val="20"/>
          <w:color w:val="auto"/>
        </w:rPr>
      </w:pPr>
    </w:p>
    <w:p>
      <w:pPr>
        <w:ind w:left="520" w:hanging="17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23" w:lineRule="exact"/>
        <w:rPr>
          <w:rFonts w:ascii="Arial" w:cs="Arial" w:eastAsia="Arial" w:hAnsi="Arial"/>
          <w:sz w:val="18"/>
          <w:szCs w:val="18"/>
          <w:color w:val="auto"/>
        </w:rPr>
      </w:pPr>
    </w:p>
    <w:p>
      <w:pPr>
        <w:jc w:val="both"/>
        <w:ind w:left="520" w:right="40" w:hanging="172"/>
        <w:spacing w:after="0" w:line="22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40" w:hanging="172"/>
        <w:spacing w:after="0" w:line="248"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20" w:right="40" w:hanging="172"/>
        <w:spacing w:after="0" w:line="22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200" w:right="40" w:hanging="681"/>
        <w:spacing w:after="0" w:line="224" w:lineRule="auto"/>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00" w:right="40" w:hanging="681"/>
        <w:spacing w:after="0" w:line="224" w:lineRule="auto"/>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00" w:right="40" w:hanging="681"/>
        <w:spacing w:after="0" w:line="264" w:lineRule="auto"/>
        <w:tabs>
          <w:tab w:leader="none" w:pos="12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00" w:right="40" w:hanging="681"/>
        <w:spacing w:after="0" w:line="224" w:lineRule="auto"/>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40" w:hanging="172"/>
        <w:spacing w:after="0" w:line="248"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00" w:right="60" w:hanging="681"/>
        <w:spacing w:after="0" w:line="248" w:lineRule="auto"/>
        <w:tabs>
          <w:tab w:leader="none" w:pos="12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4" w:lineRule="auto"/>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14, 2022</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Kirsten A. Lynch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20" w:hanging="17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23" w:lineRule="exact"/>
        <w:rPr>
          <w:rFonts w:ascii="Arial" w:cs="Arial" w:eastAsia="Arial" w:hAnsi="Arial"/>
          <w:sz w:val="18"/>
          <w:szCs w:val="18"/>
          <w:color w:val="auto"/>
        </w:rPr>
      </w:pPr>
    </w:p>
    <w:p>
      <w:pPr>
        <w:jc w:val="both"/>
        <w:ind w:left="520" w:right="40" w:hanging="172"/>
        <w:spacing w:after="0" w:line="22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40" w:hanging="172"/>
        <w:spacing w:after="0" w:line="248"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20" w:right="40" w:hanging="172"/>
        <w:spacing w:after="0" w:line="22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200" w:right="40" w:hanging="681"/>
        <w:spacing w:after="0" w:line="224" w:lineRule="auto"/>
        <w:tabs>
          <w:tab w:leader="none" w:pos="12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00" w:right="40" w:hanging="681"/>
        <w:spacing w:after="0" w:line="224" w:lineRule="auto"/>
        <w:tabs>
          <w:tab w:leader="none" w:pos="12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00" w:right="40" w:hanging="681"/>
        <w:spacing w:after="0" w:line="264" w:lineRule="auto"/>
        <w:tabs>
          <w:tab w:leader="none" w:pos="12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00" w:right="40" w:hanging="681"/>
        <w:spacing w:after="0" w:line="224" w:lineRule="auto"/>
        <w:tabs>
          <w:tab w:leader="none" w:pos="12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40" w:hanging="172"/>
        <w:spacing w:after="0" w:line="248"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00" w:right="60" w:hanging="681"/>
        <w:spacing w:after="0" w:line="248" w:lineRule="auto"/>
        <w:tabs>
          <w:tab w:leader="none" w:pos="12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00" w:right="60" w:hanging="681"/>
        <w:spacing w:after="0" w:line="234" w:lineRule="auto"/>
        <w:tabs>
          <w:tab w:leader="none" w:pos="12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14, 2022</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Michael Z. Barkin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5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January 31, 2022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14, 2022</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Kirsten A. Lynch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14, 2022</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Michael Z. Barkin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pacing w:after="0" w:line="3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2"/>
    </w:lvl>
  </w:abstractNum>
  <w:abstractNum w:abstractNumId="8">
    <w:nsid w:val="2D1D5AE9"/>
    <w:multiLevelType w:val="hybridMultilevel"/>
    <w:lvl w:ilvl="0">
      <w:lvlJc w:val="left"/>
      <w:lvlText w:val="%1."/>
      <w:numFmt w:val="lowerRoman"/>
      <w:start w:val="1"/>
    </w:lvl>
  </w:abstractNum>
  <w:abstractNum w:abstractNumId="9">
    <w:nsid w:val="6763845E"/>
    <w:multiLevelType w:val="hybridMultilevel"/>
    <w:lvl w:ilvl="0">
      <w:lvlJc w:val="left"/>
      <w:lvlText w:val="%1."/>
      <w:numFmt w:val="lowerRoman"/>
      <w:start w:val="2"/>
    </w:lvl>
    <w:lvl w:ilvl="1">
      <w:lvlJc w:val="left"/>
      <w:lvlText w:val="%2."/>
      <w:numFmt w:val="lowerRoman"/>
      <w:start w:val="4"/>
    </w:lvl>
  </w:abstractNum>
  <w:abstractNum w:abstractNumId="10">
    <w:nsid w:val="75A2A8D4"/>
    <w:multiLevelType w:val="hybridMultilevel"/>
    <w:lvl w:ilvl="0">
      <w:lvlJc w:val="left"/>
      <w:lvlText w:val="%1."/>
      <w:numFmt w:val="lowerRoman"/>
      <w:start w:val="5"/>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32"/>
    </w:lvl>
  </w:abstractNum>
  <w:abstractNum w:abstractNumId="23">
    <w:nsid w:val="1E7FF521"/>
    <w:multiLevelType w:val="hybridMultilevel"/>
    <w:lvl w:ilvl="0">
      <w:lvlJc w:val="left"/>
      <w:lvlText w:val="%1"/>
      <w:numFmt w:val="decimal"/>
      <w:start w:val="104"/>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2"/>
    </w:lvl>
  </w:abstractNum>
  <w:abstractNum w:abstractNumId="26">
    <w:nsid w:val="6CEAF087"/>
    <w:multiLevelType w:val="hybridMultilevel"/>
    <w:lvl w:ilvl="0">
      <w:lvlJc w:val="left"/>
      <w:lvlText w:val="(%1)"/>
      <w:numFmt w:val="lowerLetter"/>
      <w:start w:val="25"/>
    </w:lvl>
  </w:abstractNum>
  <w:abstractNum w:abstractNumId="27">
    <w:nsid w:val="22221A70"/>
    <w:multiLevelType w:val="hybridMultilevel"/>
    <w:lvl w:ilvl="0">
      <w:lvlJc w:val="left"/>
      <w:lvlText w:val="(%1)"/>
      <w:numFmt w:val="lowerRoman"/>
      <w:start w:val="1"/>
    </w:lvl>
    <w:lvl w:ilvl="1">
      <w:lvlJc w:val="left"/>
      <w:lvlText w:val="(%2)"/>
      <w:numFmt w:val="upperLetter"/>
      <w:start w:val="1"/>
    </w:lvl>
  </w:abstractNum>
  <w:abstractNum w:abstractNumId="28">
    <w:nsid w:val="4516DDE9"/>
    <w:multiLevelType w:val="hybridMultilevel"/>
    <w:lvl w:ilvl="0">
      <w:lvlJc w:val="left"/>
      <w:lvlText w:val="(%1)"/>
      <w:numFmt w:val="lowerRoman"/>
      <w:start w:val="1"/>
    </w:lvl>
  </w:abstractNum>
  <w:abstractNum w:abstractNumId="29">
    <w:nsid w:val="3006C83E"/>
    <w:multiLevelType w:val="hybridMultilevel"/>
    <w:lvl w:ilvl="0">
      <w:lvlJc w:val="left"/>
      <w:lvlText w:val="%1."/>
      <w:numFmt w:val="decimal"/>
      <w:start w:val="25"/>
    </w:lvl>
    <w:lvl w:ilvl="1">
      <w:lvlJc w:val="left"/>
      <w:lvlText w:val="(%2)"/>
      <w:numFmt w:val="lowerLetter"/>
      <w:start w:val="1"/>
    </w:lvl>
  </w:abstractNum>
  <w:abstractNum w:abstractNumId="30">
    <w:nsid w:val="614FD4A1"/>
    <w:multiLevelType w:val="hybridMultilevel"/>
    <w:lvl w:ilvl="0">
      <w:lvlJc w:val="left"/>
      <w:lvlText w:val="(%1)"/>
      <w:numFmt w:val="lowerLetter"/>
      <w:start w:val="3"/>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4"/>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2022-03-14T15:24:47Z</dcterms:created>
  <dcterms:modified xsi:type="dcterms:W3CDTF">2022-03-14T15:24:47Z</dcterms:modified>
</cp:coreProperties>
</file>