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April 30, 2025</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8"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36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4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9" w:lineRule="exact"/>
        <w:rPr>
          <w:sz w:val="24"/>
          <w:szCs w:val="24"/>
          <w:color w:val="auto"/>
        </w:rPr>
      </w:pPr>
    </w:p>
    <w:p>
      <w:pPr>
        <w:ind w:right="168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June 2, 2025, 37,152,403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75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60" w:type="dxa"/>
            <w:vAlign w:val="bottom"/>
          </w:tcPr>
          <w:p>
            <w:pPr>
              <w:spacing w:after="0"/>
              <w:rPr>
                <w:sz w:val="16"/>
                <w:szCs w:val="16"/>
                <w:color w:val="auto"/>
              </w:rPr>
            </w:pP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April 30, 2025, July 31, 2024 and April 30, 2024</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and Nine Months Ended April 30, 2025 and 2024</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for the Three and Nine Months Ended April 30, 2025 and 2024</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and Nine Months Ended April 30, 2025 and 2024</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8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Nine Months Ended April 30, 2025 and 2024</w:t>
            </w:r>
          </w:p>
        </w:tc>
        <w:tc>
          <w:tcPr>
            <w:tcW w:w="760" w:type="dxa"/>
            <w:vAlign w:val="bottom"/>
            <w:gridSpan w:val="2"/>
          </w:tcPr>
          <w:p>
            <w:pPr>
              <w:spacing w:after="0"/>
              <w:rPr>
                <w:sz w:val="16"/>
                <w:szCs w:val="16"/>
                <w:color w:val="auto"/>
              </w:rPr>
            </w:pP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740" w:type="dxa"/>
            <w:vAlign w:val="bottom"/>
            <w:gridSpan w:val="9"/>
            <w:shd w:val="clear" w:color="auto" w:fill="CCEEFF"/>
          </w:tcPr>
          <w:p>
            <w:pPr>
              <w:spacing w:after="0"/>
              <w:rPr>
                <w:sz w:val="16"/>
                <w:szCs w:val="16"/>
                <w:color w:val="auto"/>
              </w:rPr>
            </w:pP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80" w:type="dxa"/>
            <w:vAlign w:val="bottom"/>
            <w:tcBorders>
              <w:bottom w:val="single" w:sz="8" w:color="CCEEFF"/>
            </w:tcBorders>
            <w:gridSpan w:val="7"/>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shd w:val="clear" w:color="auto" w:fill="CCEEFF"/>
          </w:tcPr>
          <w:p>
            <w:pPr>
              <w:spacing w:after="0"/>
              <w:rPr>
                <w:sz w:val="16"/>
                <w:szCs w:val="16"/>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shd w:val="clear" w:color="auto" w:fill="CCEEFF"/>
          </w:tcPr>
          <w:p>
            <w:pPr>
              <w:spacing w:after="0"/>
              <w:rPr>
                <w:sz w:val="18"/>
                <w:szCs w:val="18"/>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420" w:type="dxa"/>
            <w:vAlign w:val="bottom"/>
            <w:tcBorders>
              <w:top w:val="single" w:sz="8" w:color="CCEEFF"/>
            </w:tcBorders>
            <w:gridSpan w:val="10"/>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top w:val="single" w:sz="8" w:color="CCEEFF"/>
            </w:tcBorders>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420" w:type="dxa"/>
            <w:vAlign w:val="bottom"/>
            <w:tcBorders>
              <w:bottom w:val="single" w:sz="8" w:color="CCEEFF"/>
            </w:tcBorders>
            <w:gridSpan w:val="13"/>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140" w:type="dxa"/>
            <w:vAlign w:val="bottom"/>
            <w:gridSpan w:val="15"/>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00" w:type="dxa"/>
            <w:vAlign w:val="bottom"/>
          </w:tcPr>
          <w:p>
            <w:pPr>
              <w:spacing w:after="0"/>
              <w:rPr>
                <w:sz w:val="16"/>
                <w:szCs w:val="16"/>
                <w:color w:val="auto"/>
              </w:rPr>
            </w:pPr>
          </w:p>
        </w:tc>
        <w:tc>
          <w:tcPr>
            <w:tcW w:w="14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5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467,034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322,827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705,429</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13,778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14,236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335,900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375,752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342,920</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114,573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118,988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107,815</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72,579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79,558</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63,578</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1,003,864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911,361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1,231,200</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2,391,354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2,422,635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2,288,755</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87,895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86,548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86,568</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1,678,918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1,677,975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1,676,610</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300,034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302,535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299,347</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249,196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256,627</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186,924</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51,788</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40,756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39,332</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5,763,049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5,698,437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5,808,736</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940,874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1,000,798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851,503</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101,379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55,358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120,706</w:t>
            </w:r>
          </w:p>
        </w:tc>
      </w:tr>
      <w:tr>
        <w:trPr>
          <w:trHeight w:val="230"/>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590,382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57,153</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68,470</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1,632,635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1,113,309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1,040,679</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2,106,413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2,721,597</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2,700,257</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220,302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233,465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154,880</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288,506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311,768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306,223</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279,258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279,815</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284,665</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4,527,114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4,659,954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4,486,704</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46,925, 46,855</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46,855 shares issued, respectively</w:t>
            </w: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1,160,833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1,145,610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1,139,089</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(57,074)</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(64,640)</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997,440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780,431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1,039,023</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9,774, 9,370 and 9,231 shares, respectively (Note 11)</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(1,206,293)</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(1,135,685)</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(1,110,433)</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895,375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723,537</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1,003,508</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340,560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314,946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318,524</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1,235,935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1,038,483</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1,322,032</w:t>
            </w:r>
          </w:p>
        </w:tc>
      </w:tr>
      <w:tr>
        <w:trPr>
          <w:trHeight w:val="223"/>
        </w:trPr>
        <w:tc>
          <w:tcPr>
            <w:tcW w:w="5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5,763,049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5,698,437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5,808,736</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1,115,031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2,259,172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2,186,506</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180,412</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433,537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428,681</w:t>
            </w:r>
          </w:p>
        </w:tc>
      </w:tr>
      <w:tr>
        <w:trPr>
          <w:trHeight w:val="223"/>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Resort net revenue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1,295,443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2,692,709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2,615,187</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3"/>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1,295,558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2,693,058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2,619,805</w:t>
            </w:r>
          </w:p>
        </w:tc>
      </w:tr>
      <w:tr>
        <w:trPr>
          <w:trHeight w:val="184"/>
        </w:trPr>
        <w:tc>
          <w:tcPr>
            <w:tcW w:w="5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483,161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1,245,010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1,200,928</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59,206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156,164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161,023</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106,011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327,408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314,953</w:t>
            </w:r>
          </w:p>
        </w:tc>
      </w:tr>
      <w:tr>
        <w:trPr>
          <w:trHeight w:val="22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648,378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1,728,582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1,676,904</w:t>
            </w:r>
          </w:p>
        </w:tc>
      </w:tr>
      <w:tr>
        <w:trPr>
          <w:trHeight w:val="229"/>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22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650,040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1,733,493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1,685,019</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(204,613)</w:t>
            </w: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7,898</w:t>
            </w:r>
          </w:p>
        </w:tc>
        <w:tc>
          <w:tcPr>
            <w:tcW w:w="4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24,404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581,165</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763,563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690,129</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8,668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gain (loss) on intercompany loans (Note 5)</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1,702</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(41,317)</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(121,168)</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545,370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650,007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579,747</w:t>
            </w:r>
          </w:p>
        </w:tc>
      </w:tr>
      <w:tr>
        <w:trPr>
          <w:trHeight w:val="230"/>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(131,042)</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(151,606)</w:t>
            </w:r>
          </w:p>
        </w:tc>
      </w:tr>
      <w:tr>
        <w:trPr>
          <w:trHeight w:val="22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414,328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490,883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428,141</w:t>
            </w:r>
          </w:p>
        </w:tc>
      </w:tr>
      <w:tr>
        <w:trPr>
          <w:trHeight w:val="230"/>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392,752</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361,995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465,464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405,782</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3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414,328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490,883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428,141</w:t>
            </w: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114,723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22,905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(71,946)</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529,051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512,033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347,986</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470,377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475,678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351,500</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829,904</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1,150,665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361,995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361,995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381,383</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(50,734)</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327,193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328,502</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(75,611)</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(83,792)</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1,139,089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(1,110,433)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1,003,508</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1,322,032</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687,169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530,703</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816,062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392,752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392,752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414,328</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77,625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77,625</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37,098</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114,723</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470,377</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58,674</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529,051</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997,440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895,375</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340,560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1,235,935</w:t>
            </w: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1,003,947</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1,335,660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405,782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405,782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428,141</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(71,946)</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351,500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347,986</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(126,127)</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(240,469)</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1,139,089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(1,110,433)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1,003,508</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1,322,032</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723,537</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1,038,483</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465,464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465,464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490,883</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22,905</w:t>
            </w:r>
          </w:p>
        </w:tc>
        <w:tc>
          <w:tcPr>
            <w:tcW w:w="0" w:type="dxa"/>
            <w:vAlign w:val="bottom"/>
          </w:tcPr>
          <w:p>
            <w:pPr>
              <w:spacing w:after="0"/>
              <w:rPr>
                <w:sz w:val="1"/>
                <w:szCs w:val="1"/>
                <w:color w:val="auto"/>
              </w:rPr>
            </w:pPr>
          </w:p>
        </w:tc>
      </w:tr>
      <w:tr>
        <w:trPr>
          <w:trHeight w:val="162"/>
        </w:trPr>
        <w:tc>
          <w:tcPr>
            <w:tcW w:w="31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475,678</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512,033</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1,160,833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895,375</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1,235,935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490,883</w:t>
            </w:r>
          </w:p>
        </w:tc>
        <w:tc>
          <w:tcPr>
            <w:tcW w:w="10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428,141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219,358</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21,184</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159,124</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151,606</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4,079</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42,957</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income,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(36,923)</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receivables, net</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39,733</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36,904</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3,819</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23,607</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54,627</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(106,953)</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(121,612)</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(110,904)</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(95,771)</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w:t>
            </w:r>
          </w:p>
        </w:tc>
      </w:tr>
      <w:tr>
        <w:trPr>
          <w:trHeight w:val="210"/>
        </w:trPr>
        <w:tc>
          <w:tcPr>
            <w:tcW w:w="78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726,430</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681,014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(179,250)</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(155,111)</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Maturity of short-term deposits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57,647</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23,768</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w:t>
            </w:r>
          </w:p>
        </w:tc>
      </w:tr>
      <w:tr>
        <w:trPr>
          <w:trHeight w:val="212"/>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(155,482)</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(90,887)</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(36,914)</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0.0% Convertible Notes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(248,455)</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(240,469)</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(28,218)</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(15,497)</w:t>
            </w:r>
          </w:p>
        </w:tc>
      </w:tr>
      <w:tr>
        <w:trPr>
          <w:trHeight w:val="210"/>
        </w:trPr>
        <w:tc>
          <w:tcPr>
            <w:tcW w:w="7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(437,548)</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(433,435)</w:t>
            </w:r>
          </w:p>
        </w:tc>
      </w:tr>
      <w:tr>
        <w:trPr>
          <w:trHeight w:val="209"/>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10,349</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143,749</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143,794</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337,063</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573,093</w:t>
            </w:r>
          </w:p>
        </w:tc>
      </w:tr>
      <w:tr>
        <w:trPr>
          <w:trHeight w:val="209"/>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480,812</w:t>
            </w:r>
          </w:p>
        </w:tc>
        <w:tc>
          <w:tcPr>
            <w:tcW w:w="10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716,887</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8"/>
        </w:trPr>
        <w:tc>
          <w:tcPr>
            <w:tcW w:w="78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19,727</w:t>
            </w:r>
          </w:p>
        </w:tc>
        <w:tc>
          <w:tcPr>
            <w:tcW w:w="102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2024.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2024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the 0.0% Convertible Notes (each as defined in Note 5, Long-Term Debt) are based on quoted market prices (a Level 2 input). The estimated fair value of the EPR Secured Notes and the NRP Loan (each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6.50% Notes, 0.0% Convertible Notes, EPR Secured Notes and NRP Loan as of April 30, 2025 are presented below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1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1"/>
                <w:szCs w:val="11"/>
                <w:color w:val="auto"/>
              </w:rPr>
            </w:pPr>
          </w:p>
        </w:tc>
        <w:tc>
          <w:tcPr>
            <w:tcW w:w="1120" w:type="dxa"/>
            <w:vAlign w:val="bottom"/>
          </w:tcPr>
          <w:p>
            <w:pPr>
              <w:jc w:val="right"/>
              <w:ind w:right="6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7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608,748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505,806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129,697</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will adopt the standard during the fourth quarter of its fiscal year ending July 31, 2025. Because the amendments do not change the methodology for the identification of operating segments, the aggregation of those operating segments or the application of the quantitative thresholds to determine reportable segments, the guidance will not have a material effect on the Company’s financial position or results of operations.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will adopt the standard during the fourth quarter of its fiscal year ending July 31, 2026 and is in the process of evaluating the effect that the adoption of this standard will have on its Consolidated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Consolidated Condensed Financial Statements, including determining the timing of adoption.</w:t>
      </w: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and nine months ended April 30, 2025 and 2024 (in thousands):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6"/>
                <w:szCs w:val="16"/>
                <w:color w:val="auto"/>
              </w:rPr>
            </w:pPr>
          </w:p>
        </w:tc>
        <w:tc>
          <w:tcPr>
            <w:tcW w:w="258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770,259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745,677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1,455,600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1,394,526</w:t>
            </w:r>
          </w:p>
        </w:tc>
      </w:tr>
      <w:tr>
        <w:trPr>
          <w:trHeight w:val="22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Ski School</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300,091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295,055</w:t>
            </w:r>
          </w:p>
        </w:tc>
      </w:tr>
      <w:tr>
        <w:trPr>
          <w:trHeight w:val="22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109,471</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222,507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209,608</w:t>
            </w: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Retail/Rental</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278,363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292,892</w:t>
            </w:r>
          </w:p>
        </w:tc>
      </w:tr>
      <w:tr>
        <w:trPr>
          <w:trHeight w:val="229"/>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192,378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176,413</w:t>
            </w:r>
          </w:p>
        </w:tc>
      </w:tr>
      <w:tr>
        <w:trPr>
          <w:trHeight w:val="22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1,196,058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2,448,939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2,368,494</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hotel rooms</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56,618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53,738</w:t>
            </w:r>
          </w:p>
        </w:tc>
      </w:tr>
      <w:tr>
        <w:trPr>
          <w:trHeight w:val="22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71,413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75,701</w:t>
            </w: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48,576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w:t>
            </w:r>
          </w:p>
        </w:tc>
      </w:tr>
      <w:tr>
        <w:trPr>
          <w:trHeight w:val="23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13,784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Golf</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r>
      <w:tr>
        <w:trPr>
          <w:trHeight w:val="229"/>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34,109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r>
      <w:tr>
        <w:trPr>
          <w:trHeight w:val="223"/>
        </w:trPr>
        <w:tc>
          <w:tcPr>
            <w:tcW w:w="5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232,631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233,914</w:t>
            </w:r>
          </w:p>
        </w:tc>
      </w:tr>
      <w:tr>
        <w:trPr>
          <w:trHeight w:val="230"/>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11,139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r>
      <w:tr>
        <w:trPr>
          <w:trHeight w:val="22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243,770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1,295,443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1,283,113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2,692,709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2,615,187</w:t>
            </w:r>
          </w:p>
        </w:tc>
      </w:tr>
      <w:tr>
        <w:trPr>
          <w:trHeight w:val="229"/>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3"/>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1,295,558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1,283,282</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2,693,058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2,619,805</w:t>
            </w: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$468.6 million and $575.8 million as of April 30, 2025 and July 31, 2024, respectively. For the three and nine months ended April 30, 2025, the Company recognized approximately $239.8 million and $543.9 million, respectively, of revenue that was included in the deferred revenue balance as of July 31, 2024. Deferred revenue balances of a long-term nature, comprised primarily of long-term private club initiation fee revenue, were $101.2 million, $104.9 million and $106.7 million as of April 30, 2025, July 31, 2024 and April 30, 2024, respectively. As of April 30, 2025, the weighted average remaining period over which revenue for unsatisfied performance obligations on long-term private club contracts will be recognized was approximately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$4.0 million, $5.2 million and $2.3 million as of April 30, 2025, July 31, 2024 and April 30, 2024, respectively. The amounts capitalized are subject to amortization commensurate with the recognition of revenue for related pass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products. The Company recorded amortization of $13.4 million and $28.3 million, respectively, for these costs during the three and nine months ended April 30, 2025, which was recorded within Mountain and Lodging operating expense on the Company’s Consolidated Condensed Statements of Operations. The Company recorded amortization of $13.9 million and $27.8 million, respectively, for these costs during the three and nine months ended April 30, 2024.</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April 30, 2025 and 2024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392,752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392,752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361,995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361,995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37,241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37,241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37,839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37,839</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37,241</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37,277</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37,839</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10.55</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9.57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2,000 and 11,000 for the three months ended April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nine months ended April 30, 2025 and 2024 (in thousands, except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465,464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465,464</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405,782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405,782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37,974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37,412</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37,974</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12.44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10.69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issuable upon the exercise of share-based awards excluded from the calculation of diluted EPS because the effect of their inclusion would have been anti-dilutive totaled approximately 21,000 and 16,000 for the nine months ended April 30, 2025 and 2024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EPS. For the three and nine months ended April 30, 2025 and 2024, the price of Vail Resorts, Inc. common stock (“Vail Shares”) did not exceed the conversion price and therefore there was no impact to diluted EPS during those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April 30, 2025, the Company paid cash dividends of $2.22 and $6.66 per share, respectively ($82.5 million and $248.5 million, respectively). During the three and nine months ended April 30, 2024, the Company paid cash dividends of $2.22 and $6.34 per share, respectively ($83.8 million and $240.5 million, respectively). On June 4, 2025, the Company’s Board of Directors approved a cash dividend of $2.22 per share payable on July 9, 2025 to stockholders of record as of June 24, 2025.</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April 30, 2025, July 31, 2024 and April 30, 2024 is summarized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80" w:type="dxa"/>
            <w:vAlign w:val="bottom"/>
          </w:tcPr>
          <w:p>
            <w:pPr>
              <w:spacing w:after="0"/>
              <w:rPr>
                <w:sz w:val="16"/>
                <w:szCs w:val="16"/>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8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6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922,852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959,766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968,750</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2028</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2034-2036</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2036</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36,525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37,088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2027-2039</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373,433</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369,143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367,704</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2042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27,658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27,887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2025-2037</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52,838</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52,017</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30,970</w:t>
            </w: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2,705,043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2,787,638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2,772,635</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8,248</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8,888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(e)</w:t>
            </w: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590,382</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57,153</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68,470</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2,106,413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2,721,597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2,700,257</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left="580" w:hanging="329"/>
        <w:spacing w:after="0" w:line="25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(“VHI”), which is a wholly-owned subsidiary of the Company, along with other certain subsidiaries of VHI, and the Company, as guarantors, Bank of America, N.A., as administrative agent, and certain Lenders are party to the Ninth Amended and Restated Credit Agreement (the “Vail Holdings Credit Agreement”). The Vail Holdings Credit Agreement has a maturity date of April 24, 2029 for both the revolver facility, which was undrawn as of April 30, 2025, and the term loan facility, which had an outstanding balance of $922.9 million as of April 30, 2025. The term loan is subject to quarterly amortization of principal of approximately $12.3 million,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April 30, 2025 (5.92% as of April 30, 2025). Interest rate margins may fluctuate based upon the ratio of the Company’s Net Funded Debt to Adjusted EBITDA (as defined in the Vail Holdings Credit Agreement)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April 30, 2025). The Company was previously party to various interest rate swap agreements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left="329"/>
        <w:spacing w:after="0" w:line="253" w:lineRule="auto"/>
        <w:rPr>
          <w:sz w:val="20"/>
          <w:szCs w:val="20"/>
          <w:color w:val="auto"/>
        </w:rPr>
      </w:pPr>
      <w:r>
        <w:rPr>
          <w:rFonts w:ascii="Times New Roman" w:cs="Times New Roman" w:eastAsia="Times New Roman" w:hAnsi="Times New Roman"/>
          <w:sz w:val="18"/>
          <w:szCs w:val="18"/>
          <w:color w:val="auto"/>
        </w:rPr>
        <w:t>On January 27, 2025, VHI entered into the First Amendment to the Vail Holdings Credit Agreement (the “First Amendment”). The First Amendment, among other things, increased the revolving credit facility by $100.0 million to an aggregate principal amount of $600.0 million, and provides for an incremental term loan facility in aggregate principal amount of $450.0 million in the form of delayed draw term loans. The $450.0 million incremental term loan facility is available to be drawn upon at any time at the Company’s option, and any undrawn capacity within the $450.0 million facility will expire on January 27, 2026. While undrawn, any unused portion of the incremental term loan facility incurs a fee equal to 0.30% per annum. Any delayed draw term loan borrowings, upon funding, would be subject to the same interest and principal payment terms and the same maturity date as the outstanding borrowings under the term loan facility. No other material terms of the Vail Holdings Credit Agreement were amended. Proceeds from any borrowings on the incremental term loan facility and the increase in the revolving credit loan facility, both of which are undrawn as of April 30, 2025, are available to be used to refinance the Company’s 0.0% Convertible Notes, as discussed further below.</w:t>
      </w:r>
    </w:p>
    <w:p>
      <w:pPr>
        <w:spacing w:after="0" w:line="221" w:lineRule="exact"/>
        <w:rPr>
          <w:sz w:val="20"/>
          <w:szCs w:val="20"/>
          <w:color w:val="auto"/>
        </w:rPr>
      </w:pPr>
    </w:p>
    <w:p>
      <w:pPr>
        <w:jc w:val="both"/>
        <w:ind w:left="329" w:hanging="329"/>
        <w:spacing w:after="0" w:line="253"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$575.0 million in aggregate principal amount of 0.0% Convertible Notes due 2026 (the “0.0% Convertible Notes) under an indenture dated December 18, 2020. As of April 30, 2025, the conversion price of the 0.0% Convertible Notes, adjusted for cash dividends paid since the issuance date, was $355.52. On January 30, 2025, the Company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the Company recorded within gain (loss) on disposal of fixed assets and other, net on its Consolidated Condensed Statements of Operations during the nine months ended April 30, 2025. Following the repurchases, approximately $525.0 million aggregate principal amount of the 0.0% Convertible Notes remain outstanding, which is reflected within long-term debt due within one year as of April 30, 2025 given the maturity date of January 1, 2026. Proceeds from any borrowings on the incremental term loan facility and the increase in the revolving credit facility with regard to the First Amendment of the Vail Holdings Credit Agreement, as discussed further above, are undrawn as of April 30, 2025, and are available to be used to refinance the Company’s 0.0% Convertible Notes.</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54"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and their general partner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April 30, 2025, there were no borrowings under the Whistler Credit Agreement. The Whistler Credit Agreement also includes a quarterly unused commitment fee based on the Consolidated Total Leverage Ratio, which as of April 30, 2025 is equal to 0.39% per annum.</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969" w:hanging="41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2025, interest on this note accrued at a rate of 12.07%.</w:t>
      </w:r>
    </w:p>
    <w:p>
      <w:pPr>
        <w:spacing w:after="0" w:line="50" w:lineRule="exact"/>
        <w:rPr>
          <w:rFonts w:ascii="Times New Roman" w:cs="Times New Roman" w:eastAsia="Times New Roman" w:hAnsi="Times New Roman"/>
          <w:sz w:val="18"/>
          <w:szCs w:val="18"/>
          <w:color w:val="auto"/>
        </w:rPr>
      </w:pPr>
    </w:p>
    <w:p>
      <w:pPr>
        <w:ind w:left="969" w:hanging="46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April 30, 2025, interest on this note accrued at a rate of 11.58%.</w:t>
      </w:r>
    </w:p>
    <w:p>
      <w:pPr>
        <w:spacing w:after="0" w:line="50" w:lineRule="exact"/>
        <w:rPr>
          <w:rFonts w:ascii="Times New Roman" w:cs="Times New Roman" w:eastAsia="Times New Roman" w:hAnsi="Times New Roman"/>
          <w:sz w:val="18"/>
          <w:szCs w:val="18"/>
          <w:color w:val="auto"/>
        </w:rPr>
      </w:pPr>
    </w:p>
    <w:p>
      <w:pPr>
        <w:ind w:left="969" w:right="20" w:hanging="515"/>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April 30, 2025, interest on this note accrued at a rate of 11.58%.</w:t>
      </w:r>
    </w:p>
    <w:p>
      <w:pPr>
        <w:spacing w:after="0" w:line="50" w:lineRule="exact"/>
        <w:rPr>
          <w:rFonts w:ascii="Times New Roman" w:cs="Times New Roman" w:eastAsia="Times New Roman" w:hAnsi="Times New Roman"/>
          <w:sz w:val="18"/>
          <w:szCs w:val="18"/>
          <w:color w:val="auto"/>
        </w:rPr>
      </w:pPr>
    </w:p>
    <w:p>
      <w:pPr>
        <w:ind w:left="969" w:hanging="50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2025, interest on this note accrued at a rate of 12.69%.</w:t>
      </w:r>
    </w:p>
    <w:p>
      <w:pPr>
        <w:spacing w:after="0" w:line="50" w:lineRule="exact"/>
        <w:rPr>
          <w:rFonts w:ascii="Times New Roman" w:cs="Times New Roman" w:eastAsia="Times New Roman" w:hAnsi="Times New Roman"/>
          <w:sz w:val="18"/>
          <w:szCs w:val="18"/>
          <w:color w:val="auto"/>
        </w:rPr>
      </w:pPr>
    </w:p>
    <w:p>
      <w:pPr>
        <w:ind w:left="969" w:hanging="45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April 30, 2025, interest on this note accrued at a rate of 9.35%.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14" w:name="page15"/>
    <w:bookmarkEnd w:id="14"/>
    <w:p>
      <w:pPr>
        <w:ind w:left="580" w:right="20"/>
        <w:spacing w:after="0" w:line="282"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debt outstanding as of April 30, 2025 reflected by fiscal year (August 1 through July 31) are as follows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0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(May 2025 through July 2025)</w:t>
            </w:r>
          </w:p>
        </w:tc>
        <w:tc>
          <w:tcPr>
            <w:tcW w:w="3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599,931</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67,867</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56,846</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770,345</w:t>
            </w:r>
          </w:p>
        </w:tc>
      </w:tr>
      <w:tr>
        <w:trPr>
          <w:trHeight w:val="229"/>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1,196,614</w:t>
            </w:r>
          </w:p>
        </w:tc>
      </w:tr>
      <w:tr>
        <w:trPr>
          <w:trHeight w:val="248"/>
        </w:trPr>
        <w:tc>
          <w:tcPr>
            <w:tcW w:w="60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8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2,705,043</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of its financial and operating covenants required to be maintained under its debt instruments for all periods presented.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During the three months ended April 30, 2025, Whistler Blackcomb repaid $25.7 million of the outstanding principal on the intercompany loan and as of April 30, 2025, the remaining balance of the intercompany loan was $6.4 million.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Crans-Montana Mountain Resort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2024, the Company acquired Crans-Montana in Switzerland from CPI Property Group (“CPIPG”). The Company acquired (i) an approximate 84% ownership stake in Romontées Mécaniques Crans Montana Aminona SA (“CMA”),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As of May 2, 2024 the total fair value of the consideration paid was $107.2 million (CHF 97.5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67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w:t>
            </w:r>
          </w:p>
        </w:tc>
      </w:tr>
      <w:tr>
        <w:trPr>
          <w:trHeight w:val="248"/>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under Swiss tax law. The operating results of Crans-Montana are reported within the Mountain segment prospectively from the date of acquisition.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Crans-Montana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340" w:type="dxa"/>
            <w:vAlign w:val="bottom"/>
          </w:tcPr>
          <w:p>
            <w:pPr>
              <w:spacing w:after="0"/>
              <w:rPr>
                <w:sz w:val="16"/>
                <w:szCs w:val="16"/>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20" w:type="dxa"/>
            <w:vAlign w:val="bottom"/>
          </w:tcPr>
          <w:p>
            <w:pPr>
              <w:spacing w:after="0"/>
              <w:rPr>
                <w:sz w:val="16"/>
                <w:szCs w:val="16"/>
                <w:color w:val="auto"/>
              </w:rPr>
            </w:pPr>
          </w:p>
        </w:tc>
        <w:tc>
          <w:tcPr>
            <w:tcW w:w="14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38,849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51,519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36,083</w:t>
            </w: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33,730</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28,039</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27,495</w:t>
            </w:r>
          </w:p>
        </w:tc>
      </w:tr>
      <w:tr>
        <w:trPr>
          <w:trHeight w:val="248"/>
        </w:trPr>
        <w:tc>
          <w:tcPr>
            <w:tcW w:w="3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72,579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79,558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63,578</w:t>
            </w: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3780" w:type="dxa"/>
            <w:vAlign w:val="bottom"/>
          </w:tcPr>
          <w:p>
            <w:pPr>
              <w:spacing w:after="0"/>
              <w:rPr>
                <w:sz w:val="24"/>
                <w:szCs w:val="24"/>
                <w:color w:val="auto"/>
              </w:rPr>
            </w:pPr>
          </w:p>
        </w:tc>
        <w:tc>
          <w:tcPr>
            <w:tcW w:w="2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32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802,307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804,287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797,472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6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1,706,140</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1,682,734</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1,643,890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2,093,810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1,984,549</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343,908</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316,510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319,342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182,396</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161,502</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95,466</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92,282</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115,204</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116,872</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5,339,231</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5,158,405</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5,004,514</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(2,947,877)</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(2,735,770)</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(2,715,759)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2,391,354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2,422,635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2,288,755</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32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128,613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141,246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468,606</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575,766</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448,760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67,875</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43,269</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6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68,560</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60,940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44,069</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44,500</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35,099</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32,611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128,052</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102,466</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940,874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1,000,798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851,503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52,213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52,213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158,062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158,062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88,000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101,989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101,989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2,343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104,200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114,570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114,570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136,533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136,533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6,268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6,268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99,200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equivalents, restricted cash, other current assets and interest rate swaps are measured utilizing quoted market prices or pricing models whereby all significant inputs are either observable or corroborated by observable market data. The interest rate swaps expired on September 23, 2024 and therefore had no estimated fair value as of April 30, 2025. The estimated fair value of the interest rate swaps was included within other current assets on the Company’s Consolidated Balance Sheet as of July 31, 2024 and Consolidated Condensed Balance Sheet as of April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nine months ended April 30, 2025 and 2024 were as follows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 and 2023, respectively</w:t>
            </w:r>
          </w:p>
        </w:tc>
        <w:tc>
          <w:tcPr>
            <w:tcW w:w="25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104,200</w:t>
            </w:r>
          </w:p>
        </w:tc>
        <w:tc>
          <w:tcPr>
            <w:tcW w:w="6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73,300</w:t>
            </w:r>
          </w:p>
        </w:tc>
      </w:tr>
      <w:tr>
        <w:trPr>
          <w:trHeight w:val="229"/>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620" w:type="dxa"/>
            <w:vAlign w:val="bottom"/>
          </w:tcPr>
          <w:p>
            <w:pPr>
              <w:spacing w:after="0"/>
              <w:rPr>
                <w:sz w:val="19"/>
                <w:szCs w:val="19"/>
                <w:color w:val="auto"/>
              </w:rPr>
            </w:pP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(17,057)</w:t>
            </w:r>
          </w:p>
        </w:tc>
      </w:tr>
      <w:tr>
        <w:trPr>
          <w:trHeight w:val="230"/>
        </w:trPr>
        <w:tc>
          <w:tcPr>
            <w:tcW w:w="5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4,079</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42,957</w:t>
            </w:r>
          </w:p>
        </w:tc>
      </w:tr>
      <w:tr>
        <w:trPr>
          <w:trHeight w:val="22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April 30, 2025 and 2024, respectively</w:t>
            </w:r>
          </w:p>
        </w:tc>
        <w:tc>
          <w:tcPr>
            <w:tcW w:w="2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88,000</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99,200</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11.2%, and volatility of 14.5%, which together with future period Park City EBITDA, are all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$13.3 million to $18.4 million.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April 30, 2025, the Company made a payment to the landlord for Contingent Consideration of approximately $20.3 million and recorded an increase in the liability of approximately $4.1 million, primarily related to the estimated Contingent Consideration payment for the fiscal year ending July 31, 2025, which is partially offset by the impact of an increase in expected capital expenditures at Park City during the years ending July 31, 2025 and 2026. These changes resulted in an estimated fair value of the Contingent Consideration of approximately $88.0 million, which is reflected in accounts payable and other long-term liabilities in the Company’s Consolidated Condensed Balance Sheet as of April 30, 2025.</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2025, the Company had various letters of credit outstanding totaling $95.6 million, consisting of $53.4 million to support the Employee Housing Bonds; $6.4 million to support bonds issued by Holland Creek Metropolitan District; and $35.8 million of other standby letters of credit primarily related to insurance-related deductibles, a wind energy purchase agreement, and workers’ compensation. The Company also had surety bonds of $11.2 million as of April 30, 2025,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April 30, 2025, July 31, 2024 and April 30, 2024, the accruals for the above loss contingencies were not material individually or in the aggregate.</w:t>
      </w:r>
    </w:p>
    <w:p>
      <w:pPr>
        <w:spacing w:after="0" w:line="1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1,212,549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1,196,058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2,448,939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2,368,494</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82,894</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243,770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1,295,443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2,692,709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2,615,187</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1,295,558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1,283,282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2,693,058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2,619,805</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577,778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1,503,510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1,450,465</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70,600</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225,072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226,439</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648,378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1,728,582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1,676,904</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1,662</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196"/>
        </w:trPr>
        <w:tc>
          <w:tcPr>
            <w:tcW w:w="53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segment operating expense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650,040</w:t>
            </w:r>
          </w:p>
        </w:tc>
        <w:tc>
          <w:tcPr>
            <w:tcW w:w="4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631,093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1,733,493</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1,685,019</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24,404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635,437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948,991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919,402</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12,294</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18,698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647,731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967,689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939,656</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6,351</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19,842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196"/>
        </w:trPr>
        <w:tc>
          <w:tcPr>
            <w:tcW w:w="53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Reported EBITDA</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654,082</w:t>
            </w:r>
          </w:p>
        </w:tc>
        <w:tc>
          <w:tcPr>
            <w:tcW w:w="4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653,282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987,531</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942,444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87,895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87,895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Reconciliation from net income attributable to Vail Resorts, Inc. to Total</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392,752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465,464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405,782</w:t>
            </w:r>
          </w:p>
        </w:tc>
      </w:tr>
      <w:tr>
        <w:trPr>
          <w:trHeight w:val="22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21,576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25,419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22,359</w:t>
            </w:r>
          </w:p>
        </w:tc>
      </w:tr>
      <w:tr>
        <w:trPr>
          <w:trHeight w:val="22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414,328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490,883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428,141</w:t>
            </w:r>
          </w:p>
        </w:tc>
      </w:tr>
      <w:tr>
        <w:trPr>
          <w:trHeight w:val="22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131,042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159,124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151,606</w:t>
            </w:r>
          </w:p>
        </w:tc>
      </w:tr>
      <w:tr>
        <w:trPr>
          <w:trHeight w:val="22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545,370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650,007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579,747</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74,618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219,358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204,613</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41,317</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125,839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121,168</w:t>
            </w: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654,082</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653,282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987,531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942,444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and September 25, 2024, the Company’s Board of Directors increased the authorization by an additional 3,000,000, 1,500,000, 2,500,000, and 1,100,000 Vail Shares, respectively, for a total authorization to repurchase up to 11,100,000 Vail Shares. During the three and nine months ended April 30, 2025, the Company repurchased 186,815 and 403,883 Vail Shares, respectively (at a total cost of $30.0 million and $70.0 million, respectively, excluding accrued excise tax). During the three and nine months ended April 30, 2024, the Company repurchased 345,732 and 582,788 Vail Shares, respectively (at a total cost of $75.0 million and $125.0 million, respectively, excluding accrued excise tax). Since inception of this stock repurchase program through April 30, 2025, the Company has repurchased 9,773,563 Vail Shares at a cost of approximately $1,199.4 million. As of April 30, 2025, 1,326,437 Vail Shares remained available to repurchase under the existing share repurchase program. On June 4, 2025, the Company’s Board of Directors approved an increase in the number of shares to be repurchased under the share repurchase program by an additional 1,500,000 Vail Shares. As a result, 2,826,437 Vail Shares are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April 30, 2025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2024 (“Form 10-K”) and the Consolidated Condensed Financial Statements as of April 30, 2025 and 2024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26, 2024.</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64% and 62% of Mountain segment net revenue for the three months ended April 30, 2025 and 2024, respectively, and approximately 59% of Mountain segment net revenue for both the nine months ended April 30, 2025 and 2024.</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2024/2025 North American ski season, Destination guests comprised approximately 56% of our North American destination mountain resort skier visits (excluding complimentary access), while Local guests comprised approximately 44% of our North American destination mountain resort skier visits (excluding complimentary access), which compares to 57% and 43%, respectively, for the 2023/2024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2025/2026 ski season, our pass alliances include Telluride Ski Resort in Colorado, Hakuba Valley and Rusutsu Resort in Japan, Resorts of the Canadian Rockies in Canada, Les 3 Vallées in France, Disentis Ski Area and Verbier 4 Vallées in Switzerland, Skirama Dolomiti in Italy and Ski Arlberg, Saalbach and Zell am See-Kaprun, Mayrhofen and Hintertux, Sölden and Silvretta Montafon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For both the nine months ended April 30, 2025 and 2024, approximately 66% of our total lift revenue recognized was derived from pass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96% of Lodging segment net revenue (excluding Lodging segment revenue associated with the reimbursement of payroll costs) for both the three months ended April 30, 2025 and 2024, and 77% and 79% of our Lodging segment revenue (excluding Lodging segment revenue associated with reimbursement of payroll costs) for the nine months ended April 30, 2025 and 2024,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throughout the 2024/2025 North American ski season reflects the strength of our advance commitment strategy, strong destination guest spending and the impact of our resource efficiency transformation plan. We achieved 3% growth in Resort Reported EBITDA year-to-date despite total skier visits declining 3% across our North American Resorts from the beginning of the ski season through April 30, 2025. North American visitation reflects the benefit of improved conditions in the second quarter relative to the prior year, offset by the expected decline in visitation from selling fewer pass units this season. For the year-to-date period, Resort net revenue increased 3% driven by a 4% increase in pass revenue and increased ancillary spend per guest across our ski school and dining businesses. Resort Reported EBITDA year-to-date also reflects strong cost discipline. Overall, the results demonstrate the strength and resilience of our business model, supported by our expansive resort network and loyal guest base, even as our western North American destination resorts experienced a decline in visitation, with outsized impacts from a decline in lift ticket guests.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2025, we began our season pass sales program for the 2025/2026 North American ski season. Pass product sales through May 27, 2025 for the upcoming 2025/2026 North American ski season decreased approximately 1% in units and increased approximately 2% in sales dollars as compared to the period in the prior year through May 28, 2024. Pass product sales are adjusted to eliminate the impact of foreign currency by applying an exchange rate of $0.73 between the Canadian dollar and the U.S. dollar in both periods for Whistler Blackcomb pass sales. We cannot predict if these trends will continue through the 2025 North American pass sales campaign or the overall impact that pass sales will have on lift revenue for the 2025/2026 North American ski season.</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tariffs and trade policies, prolonged elevated interest rates, geopolitical conflicts, political uncertainty, immigration policies,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2025, we had $467.0 million of cash and cash equivalents, as well as $508.4 million available under the revolver component of our Ninth Amended and Restated Credit Agreement, dated as of April 24, 2024 and most recently amended on January 27, 2025 (the “Vail Holdings Credit Agreement”), which represents the total commitment of $600.0 million less certain letters of credit outstanding of $91.6 million. We also have $450.0 million available under a delayed draw term loan of the Vail Holdings Credit Agreement, which will remain available to draw on at any time until January 27, 2026. Additionally, we have a credit facility which supports the liquidity needs of Whistler Blackcomb (the “Whistler</w:t>
      </w:r>
    </w:p>
    <w:p>
      <w:pPr>
        <w:spacing w:after="0" w:line="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Credit Agreement”). As of April 30, 2025, we had C$296.6 million ($215.2 million) available under the revolver component of the Whistler Credit Agreement, which represents the total commitment of C$300.0 million ($217.6 million) less letters of credit outstanding of C$3.4 million ($2.4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the three and nine months ended April 30, 2025, compared to the three and nine months ended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392,752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465,464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405,782</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545,370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650,007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579,747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635,437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948,991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919,402</w:t>
            </w:r>
          </w:p>
        </w:tc>
      </w:tr>
      <w:tr>
        <w:trPr>
          <w:trHeight w:val="22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12,294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18,698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2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647,731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967,689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939,656</w:t>
            </w:r>
          </w:p>
        </w:tc>
      </w:tr>
      <w:tr>
        <w:trPr>
          <w:trHeight w:val="22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6,351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19,842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48"/>
        </w:trPr>
        <w:tc>
          <w:tcPr>
            <w:tcW w:w="53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654,082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653,282</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987,531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942,444</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Crans-Montana (acquired May 2, 2024) prospectively from the date of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2025 compared to the three months ended April 30,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April 30, 2025 and 2024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770,259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745,677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1,196,058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558,564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638,587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$6.1 million and $5.4 million of stock-based compensation expense for the three months ended April 30, 2025 and 2024,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Mountain Reported EBITDA decreased $3.2 million, or 0.5%, primarily driven by a decrease in Local and Destination non-pass skier visitation, which impacted overall revenue in our ancillary lines of business and resulted in a reduction of non-pass lift ticket sales, partially offset by an increase in pass product sales for the 2024/2025 North American ski season compared to the prior year and the incremental impact from the acquisition of Crans-Montana. Mountain segment results also include the impact of one-time operating expenses attributable to our resource efficiency transformation plan of $3.9 million for the three months ended April 30, 2025, as well as acquisition and integration related expenses of $0.1 million and $1.3 million for the three months ended April 30, 2025 and 2024, respectively.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Lift revenue increased $24.6 million, or 3.3%, primarily due to an increase in pass revenue of 5.5%, which was driven by an increase in pass product sales for the 2024/2025 North American ski season compared to the prior year. Non-pass revenue was flat compared to the prior year and benefited from incremental non-pass revenue from Crans-Montana of $7.9 million and an increase in non-pass ETP (excluding Crans-Montana) of 6.6%, but was offset by decreased non-pass visitation at our North American resorts. Total non-pass ETP, including the impact of Crans-Montana, increased 1.3% compared to the prior year.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Ski school revenue decreased $1.0 million, or 0.6%, primarily driven by decreased skier visitation, partially offset by increased lesson pricing and incremental revenue from Crans-Montana of $0.3 million. Dining revenue increased $1.5 million, or 1.4%, driven by incremental revenue from Crans-Montana of $4.1 million, partially offset by decreased Destination skier visitation. Retail/rental revenue decreased $9.6 million, or 7.8%, for which retail revenue decreased $6.1 million, or 10.1%, driven by lower sales at our on-mountain retail locations, and rental revenue decreased $3.5 million, or 5.5%, each driven by decreased skier visitation.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$1.0 million, or 1.8%, primarily due to incremental revenue from Crans-Montana.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increased $19.2 million, or 3.4%, which was primarily attributable to incremental operating expenses from Crans-Montana and an increase in general and administrative expense, partially offset by decreased variable expenses associated with decreased revenue upon which those expenses are based. Operating expense also includes one-time expenses attributable to our resource transformation plan of $3.9 million for the three months ended April 30, 2025, as well as acquisition and integration related expenses of $0.1 million and $1.3 million for the three months ended April 30, 2025 and 2024, respectively.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Labor and labor-related benefits increased 4.0%, primarily due to incremental expenses from Crans-Montana of $6.3 million, increased variable compensation expense of $3.3 million, increased workers compensation expense of $1.2 million and normal wage adjustments, partially offset by strong cost control and workforce management in response to decreased skier visitation compared to the prior year. Retail cost of sales decreased 16.5%, compared to a decrease in retail sales of 10.1%, reflecting increased margins driven by the mix of retail merchandise purchased by customers, including lower sales of discounted retail products compared to the prior year. General and administrative expense increased 13.4%, due to an increase in corporate overhead costs, including legal and marketing, as well as increased variable compensation expense of $4.2 million. Other expense increased 3.6%, primarily due to incremental expenses from Crans-Montana.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2025 compared to the nine months ended April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the nine months ended April 30, 2025 and 2024 are presented by category as follows (in thousands, except ETP):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4"/>
                <w:szCs w:val="4"/>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1,455,600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192,378</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176,413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2,448,939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2,368,494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639,363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86,121</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107,330</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1,503,510</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948,991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919,402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$18.4 million and $17.5 million of stock-based compensation expense for the nine months ended April 30, 2025 and 2024,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Mountain Reported EBITDA increased $29.6 million, or 3.2%, primarily driven by an increase in pass product pricing for the 2024/2025 North American ski season compared to the prior year. Additionally, Mountain Reported EBITDA increased from improved early season conditions, particularly at our Eastern U.S. Resorts (comprising the Midwest, Mid-Atlantic and Northeast) and western North American Resorts, many of which experienced delayed openings and reduced terrain offerings in the prior year. These improved conditions enabled a strong terrain offering and guest experience, which drove an increase in skier visitation throughout the early season and up through the holiday period, including non-pass visitation, which also benefited other ancillary lines of business during the first half of the 2024/2025 North American ski season. Additionally, Mountain Reported EBITDA increased as a result of an increase in results from summer operations at our North American resorts, which benefited from warm weather conditions late in the season. These increases were partially offset by a decline from our Australian operations compared to the prior year, which experienced weather-related challenges that impacted terrain and resulted in early closures, as well as increased variable expenses associated with increased revenue and increased general and administrative expense. Mountain segment results also include the impact of one-time operating expenses attributable to our resource efficiency transformation plan of $8.6 million for the nine months ended April 30, 2025, as well as acquisition and integration related expenses of $1.1 million and $5.3 million for the nine months ended April 30, 2025 and 2024, respectively.</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Lift revenue increased $61.1 million, or 4.4%, due to increases in both pass revenue and non-pass revenue. Pass product revenue increased 3.9%, which was primarily driven by an increase in pass product pricing for the 2024/2025 North American ski season compared to the prior year. Additionally, non-pass revenue increased 5.4% primarily as a result of an increase in non-pass ETP (excluding Crans-Montana) of 5.5%, and incremental non-pass revenue from Crans-Montana of $15.3 million, partially offset by a reduction in non-pass visitation (excluding Crans-Montana). Total non-pass ETP, including the impact of Crans-Montana, increased 1.1%.</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$5.0 million, or 1.7%, driven by increased lesson pricing and $0.5 million incremental revenue from Crans-Montana, partially offset by decreased North American and Australian skier visitation. Dining revenue increased $12.9 million, or 6.2%, driven by incremental revenue from Crans-Montana of $7.8 million and increased pricing, partially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offset by decreased North American and Australian skier visitation. Retail/rental revenue decreased $14.5 million, or 5.0%, driven by a decrease in retail revenue of $11.7 million, or 7.2%, due to lower sales at our on-mountain retail locations driven by decreased skier visitation. Additionally, rental revenue decreased $2.8 million, or 2.2%, primarily driven by decreased Destination skier visitation, as these guests typically utilize more ancillary services.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revenue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$16.0 million or 9.0%, primarily driven by increased early season skier visitation at our North American resorts, which drove additional demand for ancillary services, as well as an increase in other on-mountain summer activities and sightseeing revenue from the impact of increased summer visitation at our North American resorts as a result of improved weather conditions.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increased $53.0 million or 3.7%, which was primarily attributable to incremental operating expenses from Crans-Montana, and increased variable expenses associated with increased revenue. Operating expense also includes one-time expenses attributable to our resource efficiency transformation plan of $8.6 million for the nine months ended April 30, 2025, as well as acquisition and integration related expenses of $1.1 million and $5.3 million for the nine months ended April 30, 2025 and 2024, respectively.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increased 4.6%, primarily due to the incremental expenses from Crans-Montana of $13.6 million, normal wage adjustments and an increase in labor expense to support increased North American operations, as well as increased variable compensation accruals of $5.1 million. Retail cost of sales decreased 10.0%, compared to a decrease in retail sales of 7.2%, reflecting increased margins driven by the mix of retail merchandise purchased by customers, including lower sales of discounted retail products compared to the prior year. Resort related fees increased 3.0% primarily as a result of an increase in revenues on which those fees are based. General and administrative expense increased 4.5%, primarily due to an increase in corporate overhead costs, including legal, marketing and information technology, as well as increased costs from company-wide performance-based variable compensation expense that was not earned in the prior year ($6.0 million). Other expense increased 5.2%, primarily due to incremental expenses from Crans-Montana of $11.6 million, as well as increased variable expenses associated with increased revenues, including rent ($2.0 million), dining cost of sales ($1.7 million) and pass partnership expense ($1.9 million), in addition to increased property tax expense ($1.5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2025 compared to the three months ended April 30, 2024</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April 30, 2025 and 2024 are presented by category as follows (in thousands, except average daily rates (“ADR”) and revenue per available room (“RevPAR”)):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15,104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32,634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14,870</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6,743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9,308</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78,659</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4,235</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82,894</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31,149</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15,333</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19,883</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66,365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4,235</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70,600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12,294</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347.01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165.54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517.07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206.66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472.36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197.16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$0.8 million and $0.7 million of stock-based compensation expense for the three months ended April 30,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decreased $3.5 million, or 22.1%, primarily due to a net reduction in our inventory of available managed condominium rooms, as well as decreased demand, which was impacted by decreased Destination skier visitation.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managed condominium rooms decreased $2.8 million, or 7.8%, primarily due to a net reduction in our inventory of available managed condominium rooms proximate to our mountain resorts, as well as decreased demand, which was impacted by decreased Destination skier visitation.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$1.1 million, or 7.6%, primarily due to an increase in corporate overhead costs, including legal and information technology.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arrangements. Since the reimbursements are made based upon the costs incurred with no added margin, the revenue and corresponding expense have no effect on our Lodging Reported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2025 compared to the nine months ended April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the nine months ended April 30, 2025 and 2024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56,618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71,413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48,576</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13,784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8,131</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34,109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232,631</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233,914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243,770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246,693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100,845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45,820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67,268</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213,933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11,139</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225,072</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18,698</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322.94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164.03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442.94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139.09</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399.57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145.47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$2.6 million and $2.5 million of stock-based compensation expense for the nine months ended April 30, 2025 and 2024,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Lodging Reported EBITDA decreased $1.6 million, or 7.7%, primarily driven by a net reduction in our inventory of available managed condominium rooms, as well as a decrease in Destination skier visitation during the 2024/2025 North American ski season, which decreased demand for lodging and other ancillary services proximate to our mountain resorts, partially offset by increased 2024 summer visitation at GTLC and our mountain resort properties as a result of favorable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owned hotel rooms increased $2.9 million, or 5.4%, primarily due to increased visitation at GTLC driven by favorable weather conditions, which also drove an increase in ADR, as well as stronger demand for summer lodging at our North American mountain resort properties. Revenue from managed condominium rooms decreased $4.3 million, or 5.7%, primarily due to lower ADR driven by lower peak-season holiday pricing compared to the prior year, as well as a net reduction in our inventory of available managed condominium rooms proximate to our mountain resorts. Dining revenue increased $2.4 million, or 5.2%, and golf revenue increased $1.6 million, or 24.3%, each primarily as a result of increased summer</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visitation at our North American mountain resort properties while transportation revenue decreased $1.3 million or 8.5% primarily as a result of decreased Destination visitation. Other revenue decreased $2.6 million, or 7.1%, primarily as a result of a decrease in property maintenance services and revenue from our central reservations booking service.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labor-related benefits decreased 1.6%, primarily due to strong cost control and workforce management in response to decreased revenue, as well as lower use of contract labor. Other expense increased 2.4%, primarily due to one-time costs attributable to our resource efficiency transformation plan of $1.2 million, as well as a reduction in property tax refunds received during the nine months ended April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2025 compared to the three months ended April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April 30, 2025 and 2024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Pr>
          <w:p>
            <w:pPr>
              <w:spacing w:after="0"/>
              <w:rPr>
                <w:sz w:val="13"/>
                <w:szCs w:val="13"/>
                <w:color w:val="auto"/>
              </w:rPr>
            </w:pPr>
          </w:p>
        </w:tc>
        <w:tc>
          <w:tcPr>
            <w:tcW w:w="19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900" w:type="dxa"/>
            <w:vAlign w:val="bottom"/>
            <w:vMerge w:val="restart"/>
          </w:tcPr>
          <w:p>
            <w:pPr>
              <w:jc w:val="center"/>
              <w:ind w:left="38"/>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1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30, 2025, we recorded a gain on sale of real property for $8.5 million related to the sale of three real estate parcels in Breckenridge, Colorado for total consideration of $11.9 million, including $1.0 million net cash proceeds received at closing.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three months ended April 30, 2025. During the three months ended April 30, 2024, we did not close on any significant real estate transactions.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three months ended April 30, 2025 and 2024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2025 compared to the nine months ended April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nine months ended April 30, 2025 and 2024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560" w:type="dxa"/>
            <w:vAlign w:val="bottom"/>
          </w:tcPr>
          <w:p>
            <w:pPr>
              <w:spacing w:after="0"/>
              <w:rPr>
                <w:sz w:val="13"/>
                <w:szCs w:val="13"/>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2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4"/>
                <w:szCs w:val="4"/>
                <w:color w:val="auto"/>
              </w:rPr>
            </w:pPr>
          </w:p>
        </w:tc>
        <w:tc>
          <w:tcPr>
            <w:tcW w:w="11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24,404</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19,842</w:t>
            </w:r>
          </w:p>
        </w:tc>
        <w:tc>
          <w:tcPr>
            <w:tcW w:w="11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April 30, 2025, we recorded a gain on sale of real property for $16.5 million related to the resolution of the October 2023 Eagle County District Court final ruling and valuation regarding the Town of Vail’s condemnation of our East Vail property, for which we received proceeds of $17.6 million. We also recorded a gain on sale of real property for $8.5 million related to the sale of three real estate parcels in Breckenridge, Colorado for total consideration of $11.9 million, including $1.0 million net cash proceeds received at closing, for which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nine months ended April 30, 2025. During the nine months ended April 30, 2024, we closed on the sale of a land parcel in Keystone for $4.2 million, which was recorded within Real Estate net revenue, with a corresponding cost of sale of $3.6 million. Additionally, we recorded a gain on sale of real property for $6.3 million related to a land parcel sale in Beaver Creek, CO, which closed for proceeds of $6.5 million during the nine months ended April 30, 2024.</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nine months ended April 30, 2025 and 2024 was primarily comprised of general and administrative costs, such as labor and labor-related benefits, professional services and allocated corporate overhead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and 2024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6"/>
                <w:szCs w:val="16"/>
                <w:color w:val="auto"/>
              </w:rPr>
            </w:pPr>
          </w:p>
        </w:tc>
        <w:tc>
          <w:tcPr>
            <w:tcW w:w="254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4"/>
                <w:szCs w:val="4"/>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4"/>
                <w:szCs w:val="4"/>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(74,618)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(68,486)</w:t>
            </w:r>
          </w:p>
        </w:tc>
        <w:tc>
          <w:tcPr>
            <w:tcW w:w="1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(219,358)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(204,613)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 in estimated fair value of</w:t>
            </w:r>
          </w:p>
        </w:tc>
        <w:tc>
          <w:tcPr>
            <w:tcW w:w="300" w:type="dxa"/>
            <w:vAlign w:val="bottom"/>
          </w:tcPr>
          <w:p>
            <w:pPr>
              <w:jc w:val="right"/>
              <w:ind w:right="9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6"/>
              <w:spacing w:after="0" w:line="184" w:lineRule="exact"/>
              <w:rPr>
                <w:sz w:val="20"/>
                <w:szCs w:val="20"/>
                <w:color w:val="auto"/>
              </w:rPr>
            </w:pPr>
            <w:r>
              <w:rPr>
                <w:rFonts w:ascii="Times New Roman" w:cs="Times New Roman" w:eastAsia="Times New Roman" w:hAnsi="Times New Roman"/>
                <w:sz w:val="18"/>
                <w:szCs w:val="18"/>
                <w:color w:val="auto"/>
              </w:rPr>
              <w:t>(1,900)</w:t>
            </w:r>
          </w:p>
        </w:tc>
        <w:tc>
          <w:tcPr>
            <w:tcW w:w="36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4"/>
              <w:spacing w:after="0" w:line="184" w:lineRule="exact"/>
              <w:rPr>
                <w:sz w:val="20"/>
                <w:szCs w:val="20"/>
                <w:color w:val="auto"/>
              </w:rPr>
            </w:pPr>
            <w:r>
              <w:rPr>
                <w:rFonts w:ascii="Times New Roman" w:cs="Times New Roman" w:eastAsia="Times New Roman" w:hAnsi="Times New Roman"/>
                <w:sz w:val="18"/>
                <w:szCs w:val="18"/>
                <w:color w:val="auto"/>
              </w:rPr>
              <w:t>(36,500)</w:t>
            </w:r>
          </w:p>
        </w:tc>
        <w:tc>
          <w:tcPr>
            <w:tcW w:w="1460" w:type="dxa"/>
            <w:vAlign w:val="bottom"/>
          </w:tcPr>
          <w:p>
            <w:pPr>
              <w:jc w:val="right"/>
              <w:ind w:right="36"/>
              <w:spacing w:after="0" w:line="184" w:lineRule="exact"/>
              <w:rPr>
                <w:sz w:val="20"/>
                <w:szCs w:val="20"/>
                <w:color w:val="auto"/>
              </w:rPr>
            </w:pPr>
            <w:r>
              <w:rPr>
                <w:rFonts w:ascii="Times New Roman" w:cs="Times New Roman" w:eastAsia="Times New Roman" w:hAnsi="Times New Roman"/>
                <w:sz w:val="18"/>
                <w:szCs w:val="18"/>
                <w:color w:val="auto"/>
              </w:rPr>
              <w:t>(94.8)%</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6"/>
              <w:spacing w:after="0" w:line="184" w:lineRule="exact"/>
              <w:rPr>
                <w:sz w:val="20"/>
                <w:szCs w:val="20"/>
                <w:color w:val="auto"/>
              </w:rPr>
            </w:pPr>
            <w:r>
              <w:rPr>
                <w:rFonts w:ascii="Times New Roman" w:cs="Times New Roman" w:eastAsia="Times New Roman" w:hAnsi="Times New Roman"/>
                <w:sz w:val="18"/>
                <w:szCs w:val="18"/>
                <w:color w:val="auto"/>
              </w:rPr>
              <w:t>(4,079)</w:t>
            </w:r>
          </w:p>
        </w:tc>
        <w:tc>
          <w:tcPr>
            <w:tcW w:w="36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4"/>
              <w:spacing w:after="0" w:line="184" w:lineRule="exact"/>
              <w:rPr>
                <w:sz w:val="20"/>
                <w:szCs w:val="20"/>
                <w:color w:val="auto"/>
              </w:rPr>
            </w:pPr>
            <w:r>
              <w:rPr>
                <w:rFonts w:ascii="Times New Roman" w:cs="Times New Roman" w:eastAsia="Times New Roman" w:hAnsi="Times New Roman"/>
                <w:sz w:val="18"/>
                <w:szCs w:val="18"/>
                <w:color w:val="auto"/>
              </w:rPr>
              <w:t>(42,957)</w:t>
            </w:r>
          </w:p>
        </w:tc>
        <w:tc>
          <w:tcPr>
            <w:tcW w:w="14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(131,042)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(129,280)</w:t>
            </w:r>
          </w:p>
        </w:tc>
        <w:tc>
          <w:tcPr>
            <w:tcW w:w="1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(159,124)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(151,606)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 pts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pts</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for the three and nine months ended April 30, 2025 increased $6.1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$14.7 million, respectively, compared to the same periods in the prior year, primarily due to assets acquired in the acquisition of Crans-Montana, as well as additional capital projects completed at our Resorts during the prior capital year.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estimated fair value of contingent consideration. </w:t>
      </w:r>
      <w:r>
        <w:rPr>
          <w:rFonts w:ascii="Times New Roman" w:cs="Times New Roman" w:eastAsia="Times New Roman" w:hAnsi="Times New Roman"/>
          <w:sz w:val="18"/>
          <w:szCs w:val="18"/>
          <w:color w:val="auto"/>
        </w:rPr>
        <w:t>Change in estimated fair value of contingent consideration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2025 decreased $34.6 million and $38.9 million, respectively, compared to the same periods in the prior year, primarily related to an increase in the expected long-term EBITDA performance for Park City in the prior year that resulted in an increase in the liability for the three and nine months ended April 30,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At the end of each interim period, the Company estimates the annual effective tax rate and applies that rate to its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period in which the change occurs. The effective tax rate for the three and nine months ended April 30, 2025 was 24.0% and 24.5%, respectively, compared to 25.3% and 26.2% for the three and nine months ended April 30, 2024,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April 30, 2025 compared to the three months ended April 30, 2024 was primarily due to a decrease in the impact of favorable discrete items, as well as a decrease in pretax losses at our foreign entities. The decrease in the effective tax rate for the nine months ended months ended April 30, 2025 compared to the nine months ended months ended April 30, 2024 was primarily due to a decrease in net unfavorable discrete items impacting the tax provision in the current period, including a nonrecurring foreign partnership basis adjustment of $4.7 million during the nine months ended months ended April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the three and nine months ended April 30, 2025 and 2024 (in thousands):</w:t>
      </w: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0" w:type="dxa"/>
            <w:vAlign w:val="bottom"/>
          </w:tcPr>
          <w:p>
            <w:pPr>
              <w:spacing w:after="0"/>
              <w:rPr>
                <w:sz w:val="16"/>
                <w:szCs w:val="16"/>
                <w:color w:val="auto"/>
              </w:rPr>
            </w:pPr>
          </w:p>
        </w:tc>
        <w:tc>
          <w:tcPr>
            <w:tcW w:w="27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392,752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465,464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405,782</w:t>
            </w: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21,576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25,419</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22,359</w:t>
            </w:r>
          </w:p>
        </w:tc>
      </w:tr>
      <w:tr>
        <w:trPr>
          <w:trHeight w:val="22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414,328</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490,883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428,141</w:t>
            </w:r>
          </w:p>
        </w:tc>
      </w:tr>
      <w:tr>
        <w:trPr>
          <w:trHeight w:val="22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131,042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129,280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159,124</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151,606</w:t>
            </w:r>
          </w:p>
        </w:tc>
      </w:tr>
      <w:tr>
        <w:trPr>
          <w:trHeight w:val="22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545,370</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650,007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579,747</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74,618</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219,358</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204,613</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1,900</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4,079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(53)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41,317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39,853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125,839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121,168</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654,082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653,282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987,531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942,444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635,437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638,587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948,991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919,402</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12,294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15,784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18,698</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647,731</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967,689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939,656</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19,842</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654,082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653,282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987,531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942,444</w:t>
            </w:r>
          </w:p>
        </w:tc>
      </w:tr>
      <w:tr>
        <w:trPr>
          <w:trHeight w:val="20"/>
        </w:trPr>
        <w:tc>
          <w:tcPr>
            <w:tcW w:w="57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5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2,106,413</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2,700,257</w:t>
            </w: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590,382</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68,470</w:t>
            </w:r>
          </w:p>
        </w:tc>
      </w:tr>
      <w:tr>
        <w:trPr>
          <w:trHeight w:val="22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2,696,795</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2,768,727</w:t>
            </w: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467,034</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705,429</w:t>
            </w:r>
          </w:p>
        </w:tc>
      </w:tr>
      <w:tr>
        <w:trPr>
          <w:trHeight w:val="248"/>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2,229,761</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2,063,298</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nine months ended April 30, 2025 and 2024 are presented by categories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726,430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681,014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9"/>
              </w:rPr>
              <w:t>(155,482)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(90,887)</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(437,548)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(433,435)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2025 compared to the nine months ended April 30, 2024</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generated $726.4 million of cash from operating activities during the nine months ended April 30, 2025, an increase of $45.4 million compared to $681.0 million generated during the nine months ended April 30, 2024. The increase in operating cash flows was primarily a result of increased pass product sales and collections and other operating cash flows related to Resort operations during the nine months ended April 30, 2025 as compared to the prior year, partially offset by an increase in income tax payments of approximately $15.1 million for the nine months ended April 30, 2025 as compared to the prior year, driven by overpayments and other deductions which offset our estimated payments made during the nine months ended April 30, 2024 and higher estimated taxable income for the current fiscal year.</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cash used in investing activities for the nine months ended April 30, 2025 of $64.6 million was primarily due to (i) the maturity of short-term bank deposits in the prior year which had maturity dates of more than three months at the date of purchase and were therefore not reflected as cash equivalents as of July 31, 2023, of which $57.6 million matured during the three months ended April 30, 2024 and (ii) an increase in capital expenditures of approximately $24.1 million as compared to the prior year, which is largely driven by an acceleration of the timing of work being completed and associated payments taking place in the current year. These increases were partially offset by $17.6 million of cash received during the nine months ended April 30, 2025 related to the resolution of the October 2023 Eagle County District Court final ruling and valuation regarding the Town of Vail’s condemnation of our East Vail property.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by $4.1 million during the nine months ended April 30, 2025 compared to the nine months ended April 30, 2024, primarily due to $48.0 million of cash paid for repurchases of 0.0% Convertible Notes during the nine months ended April 30, 2025 and an increase in dividends paid of $8.0 million, partially offset by a $55.0 million decrease in repurchases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$467.0 million of cash and cash equivalents as of April 30, 2025, compared to $705.4 million as of April 30, 2024. The decrease was primarily attributable to the cash purchase price associated with the acquisition of Crans-Montana, net of cash acquired, repurchases of common stock and repurchases of 0.0% Convertible Notes completed during the last twelve months. We currently anticipate that our Mountain and Lodging segment operating results will continue to provide a significant source of future operating cash flows (primarily generated in our second and third fiscal quarters).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$467.0 million of cash and cash equivalents at April 30, 2025, we had $508.4 million available under the revolver component of our Vail Holdings Credit Agreement as of April 30, 2025 (which represents the total commitment of $600.0 million less outstanding letters of credit of $91.6 million). Additionally, we had C$296.6 million ($215.2 million) available under the revolver component of our Whistler Credit Agreement (which represents the total commitment of C$300.0 million ($217.6 million) less certain outstanding letters of credit of C$3.4 million ($2.4 million). We also had $450.0 million available under a delayed draw term loan of the Vail Holdings Credit Agreement which will remain available to draw on at any time until January 27, 2026. Proceeds from any borrowings on the revolver component of our Vail Holdings Credit Agreement and the delayed draw term loans are available to be used to refinance our 0.0% Convertible Notes.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capital plan for calendar year 2025 will be approximately $198 million to $203 million, excluding $46 million of growth capital investments at our European resorts, comprised of $42 million at Andermatt-Sedrun and $4 million at Crans-Montana, and $6 million of real estate related capital projects to complete multi-year transformational investments at the key base area portals of Breckenridge Peak 8 and Keystone River Run, and planning investments to support the development of the West Lionshead area into a fourth base village at Vail Mountain. Including European growth capital investments and real estate related capital, our total capital plan for calendar year 2025 is expected to be approximately $249 million to $254 million. Included in these estimated capital expenditures are approximately $124 million to $128 million of maintenance capital expenditures,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2025, principal payments on the majority of our long-term debt ($2.0 billion of the total $2.7 billion debt outstanding as of April 30, 2025) are not due until fiscal year 2029 and beyond. As of April 30, 2025 and 2024, total long-term debt, net (including long-term debt due within one year) was $2.7 billion and $2.8 billion, respectively. Net Debt (defined as long-term debt, net plus long-term debt due within one year less cash and cash equivalents) increased from $2.1 billion as of April 30, 2024 to $2.2 billion as of April 30, 2025, primarily due to the cash purchase price associated with the acquisition of Crans-Montana, net of cash acquired, and share repurchases completed during the last twelve months.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2025, we entered into the First Amendment to the Vail Holdings Credit Agreement (the “First Amendment”). The First Amendment, among other things, increased the revolving credit facility by $100.0 million to an aggregate principal amount of $600.0 million, and provides for an incremental term loan facility in an aggregate principal amount of $450.0 million in the form of delayed draw term loans. The $450.0 million incremental term loan facility is available to be drawn upon at any time at our option, and any undrawn capacity within the $450.0 million facility will expire on January 27, 2026. No other material terms of the Vail Holdings Credit Agreement were amended. As of April 30, 2025, the Vail Holdings Credit Agreement provides for (i) a revolving loan facility in an aggregate principal amount of $600.0 million, (ii) a term loan of $922.9 million and (iii) $450.0 million incremental term loan facility in the form of delayed draw term loans, and the Whistler Credit Agreement provides for a revolving loan facility in an aggregate principal amount of C$300.0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0.0% Convertible Notes due 2026 (the “0.0% Convertible Notes”) mature on January 1, 2026, and are therefore reflected within long-term debt due within one year on the Company’s Consolidated Condensed Balance Sheet as of April 30, 2025. On January 30, 2025, we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was recorded within gain (loss) on disposal of fixed assets and other, net on the Company’s Consolidated Condensed Statements of Operations during the three and nine months ended April 30, 2025. Following the repurchases, approximately $525.0 million aggregate principal amount of the 0.0% Convertible Notes remain outstanding. Proceeds from any borrowings on the incremental term loan facility and the increase in the revolving credit facility with regard to the First Amendment of the Vail Holdings Credit Agreement, as discussed further above, remain undrawn as of April 30, 2025, and are available to be used to refinance our 0.0% Convertible Notes.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$1.0 billion of variable-rate debt outstanding as of April 30, 2025. A 100-basis point change in our borrowing rates would cause our annual interest payments to change by approximately $9.8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4, 2025, the Company’s Board of Directors approved a cash dividend of $2.22 per share payable on July 9, 2025 to stockholders of record as of June 24, 2025. During the nine months ended April 30, 2025, we paid cash dividends of $6.66 per share ($248.5 million). During the nine months ended April 30, 2024, we paid cash dividends of $6.34 per share ($240.5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2,500,000 Vail Shares (March 7, 2023), and 1,100,000 Vail Shares (September 25, 2024), for a total authorization to repurchase up to 11,100,000 Vail Shares. During the nine months ended April 30, 2025, we repurchased 403,883 Vail Shares (at an average cost of $173.32) for a total cost of approximately $70.0 million, excluding accrued excise tax. During the nine months ended April 30, 2024, we repurchased 582,788 Vail Shares (at an average cost of $214.49) for a total cost of approximately $125.0 million, excluding accrued excise tax. We funded the share repurchases with available cash on hand. Since inception of this stock repurchase program through April 30, 2025, we have repurchased 9,773,563 Vail Shares at a cost of approximately $1,199.4 million. As of April 30, 2025, 1,326,437 Vail Shares remained available to repurchase under the existing repurchase authorization. On June 4, 2025, the Company’s Board of Directors approved an increase in the number of shares to be repurchased under the share repurchase program by an additional 1,500,000 Vail Shares. As a result, 2,826,437 Vail Shares are available to repurchase under the existing share repurchase program.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April 30, 2025.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as reported in our Form 10-K for the fiscal year ended July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ind w:left="820" w:hanging="650"/>
        <w:spacing w:after="0" w:line="262"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 or other unexpected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6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ind w:left="820" w:hanging="650"/>
        <w:spacing w:after="0" w:line="262"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environmental, social and governance practices and reporting;</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April 30, 2025, we had approximately $1.0 billion of variable rate indebtedness, representing approximately 36.1% of our total debt outstanding, at an average interest rate during the nine months ended April 30, 2025 of approximately 6.2%. Based on variable-rate borrowings outstanding as of April 30, 2025, a 100-basis point (or 1.0%) change in our borrowing rates would result in our annual interest payments changing by approximately $9.8 million. Our market risk exposure fluctuates based on changes in underlying interest rates.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gains (losses), and foreign currency gain (loss) on intercompany loans recognized in comprehensive income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22,905</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April 30, 2025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26, 2024 as of and for the year ended July 31,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Vail Shares during the third quarter of fiscal 2025:</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76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6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auto"/>
            </w:tcBorders>
            <w:vMerge w:val="continue"/>
          </w:tcPr>
          <w:p>
            <w:pPr>
              <w:spacing w:after="0"/>
              <w:rPr>
                <w:sz w:val="17"/>
                <w:szCs w:val="17"/>
                <w:color w:val="auto"/>
              </w:rPr>
            </w:pPr>
          </w:p>
        </w:tc>
        <w:tc>
          <w:tcPr>
            <w:tcW w:w="2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25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1,513,252</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2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186,815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160.59</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186,815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1,326,437</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25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1,326,437</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186,815</w:t>
            </w:r>
          </w:p>
        </w:tc>
        <w:tc>
          <w:tcPr>
            <w:tcW w:w="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160.59</w:t>
            </w: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186,815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1,326,437</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20" w:right="100" w:hanging="406"/>
        <w:spacing w:after="0" w:line="254"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2,500,000 Vail Shares (March 7, 2023), and 1,100,000 (September 25, 2024), for a total authorization to repurchase up to 11,100,000 Vail Shares. As of April 30, 2025, 1,326,437 Vail Shares remained available to repurchase under the existing repurchase authorization. On June 4, 2025, the Company’s Board of Directors approved an increase in the number of shares to be repurchased under the share repurchase program by an additional 1,500,000 Vail Shares. As a result, 2,826,437 Vail Shares are available to repurchase under the existing share repurchase program.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the following directors or executive officers adopted, modified or terminated contracts, instructions or written plans for the purchase or sale of our common stock that were intended to satisfy the affirmative defense conditions of Rule 10b5-1(c) or “non-Rule 10b5-1 trading arrangements”: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60" w:type="dxa"/>
            <w:vAlign w:val="bottom"/>
            <w:gridSpan w:val="2"/>
          </w:tcPr>
          <w:p>
            <w:pPr>
              <w:jc w:val="right"/>
              <w:ind w:right="25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3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9"/>
                <w:szCs w:val="9"/>
                <w:b w:val="1"/>
                <w:bCs w:val="1"/>
                <w:color w:val="auto"/>
              </w:rPr>
              <w:t>(1)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8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40" w:type="dxa"/>
            <w:vAlign w:val="bottom"/>
            <w:vMerge w:val="continue"/>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140" w:type="dxa"/>
            <w:vAlign w:val="bottom"/>
            <w:vMerge w:val="restart"/>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640" w:type="dxa"/>
            <w:vAlign w:val="bottom"/>
          </w:tcPr>
          <w:p>
            <w:pPr>
              <w:spacing w:after="0"/>
              <w:rPr>
                <w:sz w:val="12"/>
                <w:szCs w:val="12"/>
                <w:color w:val="auto"/>
              </w:rPr>
            </w:pPr>
          </w:p>
        </w:tc>
        <w:tc>
          <w:tcPr>
            <w:tcW w:w="1420" w:type="dxa"/>
            <w:vAlign w:val="bottom"/>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3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060" w:type="dxa"/>
            <w:vAlign w:val="bottom"/>
            <w:tcBorders>
              <w:bottom w:val="single" w:sz="8" w:color="auto"/>
            </w:tcBorders>
            <w:gridSpan w:val="2"/>
          </w:tcPr>
          <w:p>
            <w:pPr>
              <w:jc w:val="right"/>
              <w:ind w:right="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Non-Rule 10b5-1   Purchased or Sold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78"/>
        </w:trPr>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William Rock</w:t>
            </w:r>
          </w:p>
        </w:tc>
        <w:tc>
          <w:tcPr>
            <w:tcW w:w="13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President,</w:t>
            </w:r>
          </w:p>
        </w:tc>
        <w:tc>
          <w:tcPr>
            <w:tcW w:w="1280" w:type="dxa"/>
            <w:vAlign w:val="bottom"/>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Adoption</w:t>
            </w:r>
          </w:p>
        </w:tc>
        <w:tc>
          <w:tcPr>
            <w:tcW w:w="154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99"/>
              </w:rPr>
              <w:t>March 13, 2025</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25,</w:t>
            </w:r>
          </w:p>
        </w:tc>
        <w:tc>
          <w:tcPr>
            <w:tcW w:w="1140" w:type="dxa"/>
            <w:vAlign w:val="bottom"/>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rPr>
              <w:t>X</w:t>
            </w:r>
          </w:p>
        </w:tc>
        <w:tc>
          <w:tcPr>
            <w:tcW w:w="30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81"/>
        </w:trPr>
        <w:tc>
          <w:tcPr>
            <w:tcW w:w="1460" w:type="dxa"/>
            <w:vAlign w:val="bottom"/>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Mountain</w:t>
            </w:r>
          </w:p>
        </w:tc>
        <w:tc>
          <w:tcPr>
            <w:tcW w:w="128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30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6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vMerge w:val="continue"/>
            <w:shd w:val="clear" w:color="auto" w:fill="CCEEFF"/>
          </w:tcPr>
          <w:p>
            <w:pPr>
              <w:spacing w:after="0"/>
              <w:rPr>
                <w:sz w:val="8"/>
                <w:szCs w:val="8"/>
                <w:color w:val="auto"/>
              </w:rPr>
            </w:pPr>
          </w:p>
        </w:tc>
        <w:tc>
          <w:tcPr>
            <w:tcW w:w="30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Division</w:t>
            </w:r>
          </w:p>
        </w:tc>
        <w:tc>
          <w:tcPr>
            <w:tcW w:w="12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was adopted during an open trading window in accordance with the Company’s insider trading policy and at a time when the officer was not in possession of material nonpublic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sold immediately upon exercise under the Rule 10b5-1 trading arrangement are share appreciation rights awarded on September 25, 2015 and expiring on September 25,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hanging="1314"/>
        <w:spacing w:after="0" w:line="237"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hanging="1314"/>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29"/>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1300"/>
              <w:spacing w:after="0" w:line="181" w:lineRule="exact"/>
              <w:rPr>
                <w:sz w:val="20"/>
                <w:szCs w:val="20"/>
                <w:color w:val="auto"/>
              </w:rPr>
            </w:pPr>
            <w:r>
              <w:rPr>
                <w:rFonts w:ascii="Times New Roman" w:cs="Times New Roman" w:eastAsia="Times New Roman" w:hAnsi="Times New Roman"/>
                <w:sz w:val="18"/>
                <w:szCs w:val="18"/>
                <w:color w:val="auto"/>
              </w:rPr>
              <w:t>Vice President, Controller and</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00"/>
          </w:cols>
          <w:pgMar w:left="320" w:top="117"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April 30, 2025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2"/>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2025-06-05T15:21:49Z</dcterms:created>
  <dcterms:modified xsi:type="dcterms:W3CDTF">2025-06-05T15:21:49Z</dcterms:modified>
</cp:coreProperties>
</file>