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6"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2015</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001-09614</w:t>
      </w: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80" w:type="dxa"/>
            <w:vAlign w:val="bottom"/>
          </w:tcPr>
          <w:p>
            <w:pPr>
              <w:spacing w:after="0"/>
              <w:rPr>
                <w:sz w:val="24"/>
                <w:szCs w:val="24"/>
                <w:color w:val="auto"/>
              </w:rPr>
            </w:pPr>
          </w:p>
        </w:tc>
        <w:tc>
          <w:tcPr>
            <w:tcW w:w="536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186"/>
        </w:trPr>
        <w:tc>
          <w:tcPr>
            <w:tcW w:w="2480" w:type="dxa"/>
            <w:vAlign w:val="bottom"/>
          </w:tcPr>
          <w:p>
            <w:pPr>
              <w:spacing w:after="0"/>
              <w:rPr>
                <w:sz w:val="16"/>
                <w:szCs w:val="16"/>
                <w:color w:val="auto"/>
              </w:rPr>
            </w:pPr>
          </w:p>
        </w:tc>
        <w:tc>
          <w:tcPr>
            <w:tcW w:w="53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34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780" w:space="720"/>
            <w:col w:w="468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80" w:space="720"/>
            <w:col w:w="160" w:space="100"/>
            <w:col w:w="442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sectPr>
          <w:pgSz w:w="11900" w:h="16838" w:orient="portrait"/>
          <w:cols w:equalWidth="0" w:num="3">
            <w:col w:w="8620" w:space="180"/>
            <w:col w:w="500" w:space="180"/>
            <w:col w:w="194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December 2, 2015, 36,240,129 shares of the registrant’s common stock were outstanding.</w:t>
      </w:r>
    </w:p>
    <w:p>
      <w:pPr>
        <w:sectPr>
          <w:pgSz w:w="11900" w:h="16838" w:orient="portrait"/>
          <w:cols w:equalWidth="0" w:num="1">
            <w:col w:w="11420"/>
          </w:cols>
          <w:pgMar w:left="240" w:top="7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4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91"/>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5"/>
          </w:tcPr>
          <w:p>
            <w:pPr>
              <w:spacing w:after="0"/>
              <w:rPr>
                <w:sz w:val="20"/>
                <w:szCs w:val="20"/>
                <w:color w:val="auto"/>
              </w:rPr>
            </w:pPr>
            <w:r>
              <w:rPr>
                <w:rFonts w:ascii="Arial" w:cs="Arial" w:eastAsia="Arial" w:hAnsi="Arial"/>
                <w:sz w:val="18"/>
                <w:szCs w:val="18"/>
                <w:color w:val="auto"/>
              </w:rPr>
              <w:t>Financial Statements (unaudited).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80" w:type="dxa"/>
            <w:vAlign w:val="bottom"/>
          </w:tcPr>
          <w:p>
            <w:pPr>
              <w:spacing w:after="0"/>
              <w:rPr>
                <w:sz w:val="19"/>
                <w:szCs w:val="19"/>
                <w:color w:val="auto"/>
              </w:rPr>
            </w:pPr>
          </w:p>
        </w:tc>
        <w:tc>
          <w:tcPr>
            <w:tcW w:w="7300" w:type="dxa"/>
            <w:vAlign w:val="bottom"/>
            <w:gridSpan w:val="11"/>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Consolidated Condensed Balance Sheets as of October 31, 2015, July 31, 2015 and October 31, 2014</w:t>
              </w:r>
            </w:hyperlink>
          </w:p>
        </w:tc>
        <w:tc>
          <w:tcPr>
            <w:tcW w:w="2040" w:type="dxa"/>
            <w:vAlign w:val="bottom"/>
            <w:gridSpan w:val="4"/>
          </w:tcPr>
          <w:p>
            <w:pPr>
              <w:spacing w:after="0"/>
              <w:rPr>
                <w:sz w:val="19"/>
                <w:szCs w:val="19"/>
                <w:color w:val="auto"/>
              </w:rPr>
            </w:pPr>
          </w:p>
        </w:tc>
        <w:tc>
          <w:tcPr>
            <w:tcW w:w="74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76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Condensed Statements of Operations for the Three Months Ended October 31, 2015 and 2014</w:t>
              </w:r>
            </w:hyperlink>
          </w:p>
        </w:tc>
        <w:tc>
          <w:tcPr>
            <w:tcW w:w="1580" w:type="dxa"/>
            <w:vAlign w:val="bottom"/>
            <w:gridSpan w:val="3"/>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9340" w:type="dxa"/>
            <w:vAlign w:val="bottom"/>
            <w:gridSpan w:val="15"/>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Consolidated Condensed Statements of Comprehensive Income (Loss) for the Three Months Ended October 31, 2015 and</w:t>
              </w:r>
            </w:hyperlink>
          </w:p>
        </w:tc>
        <w:tc>
          <w:tcPr>
            <w:tcW w:w="7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196"/>
        </w:trPr>
        <w:tc>
          <w:tcPr>
            <w:tcW w:w="8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2014</w:t>
              </w:r>
            </w:hyperlink>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934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Condensed Statements of Stockholders' Equity for the Three Months Ended October 31, 2015 and 2014</w:t>
              </w:r>
            </w:hyperlink>
          </w:p>
        </w:tc>
        <w:tc>
          <w:tcPr>
            <w:tcW w:w="74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760" w:type="dxa"/>
            <w:vAlign w:val="bottom"/>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Condensed Statements of Cash Flows for the Three Months Ended October 31, 2015 and 2014</w:t>
              </w:r>
            </w:hyperlink>
          </w:p>
        </w:tc>
        <w:tc>
          <w:tcPr>
            <w:tcW w:w="70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76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1580" w:type="dxa"/>
            <w:vAlign w:val="bottom"/>
            <w:gridSpan w:val="3"/>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74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2900" w:type="dxa"/>
            <w:vAlign w:val="bottom"/>
            <w:gridSpan w:val="5"/>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21"/>
                <w:szCs w:val="21"/>
                <w:color w:val="auto"/>
              </w:rPr>
            </w:pPr>
          </w:p>
        </w:tc>
        <w:tc>
          <w:tcPr>
            <w:tcW w:w="498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615"/>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4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74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21"/>
                <w:szCs w:val="21"/>
                <w:color w:val="auto"/>
              </w:rPr>
            </w:pPr>
          </w:p>
        </w:tc>
        <w:tc>
          <w:tcPr>
            <w:tcW w:w="800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498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Defaults Upon Senior Securities</w:t>
              </w:r>
            </w:hyperlink>
          </w:p>
        </w:tc>
        <w:tc>
          <w:tcPr>
            <w:tcW w:w="7000" w:type="dxa"/>
            <w:vAlign w:val="bottom"/>
            <w:gridSpan w:val="8"/>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7560" w:type="dxa"/>
            <w:vAlign w:val="bottom"/>
            <w:gridSpan w:val="9"/>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1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7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8020" w:type="dxa"/>
            <w:vAlign w:val="bottom"/>
            <w:gridSpan w:val="11"/>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October 31, 2015</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2015</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October 31, 2014</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39,606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29,840</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5,562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13,012</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13,282</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52,389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113,990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36,137</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95,001</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73,485</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88,279</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61,762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52,197</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64,452</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254,320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288,143</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231,990</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1,388,565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1,386,275</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1,295,530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120,769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129,825</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157,182</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499,607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500,433</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469,892</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142,687</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144,149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144,098</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39,390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42,176</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2,445,338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2,340,868</w:t>
            </w:r>
          </w:p>
        </w:tc>
      </w:tr>
      <w:tr>
        <w:trPr>
          <w:trHeight w:val="67"/>
        </w:trPr>
        <w:tc>
          <w:tcPr>
            <w:tcW w:w="6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438,837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331,299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390,270</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54,312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57,194</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31,604</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13,319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10,154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506,468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398,647</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422,896</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817,058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806,676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819,238</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254,251</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255,916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255,186</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110,912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147,796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84,862</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1,688,689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1,609,035</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1,582,182</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Preferred stock, $0.01 par value, 25,000,000 shares authorized, no shares issued</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41,566,094,</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41,462,941 and 41,264,761 shares issued, respectively</w:t>
            </w:r>
          </w:p>
        </w:tc>
        <w:tc>
          <w:tcPr>
            <w:tcW w:w="3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624,274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623,510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615,680</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(7,321)</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(4,913)</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358,507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440,748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322,163</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0"/>
              </w:rPr>
              <w:t>Treasury stock, at cost, 5,326,941, 4,949,111, and 4,949,111 shares, respectively</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(Note 11)</w:t>
            </w:r>
          </w:p>
        </w:tc>
        <w:tc>
          <w:tcPr>
            <w:tcW w:w="30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(233,192)</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(193,192)</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(193,192)</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742,684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866,568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744,725</w:t>
            </w:r>
          </w:p>
        </w:tc>
      </w:tr>
      <w:tr>
        <w:trPr>
          <w:trHeight w:val="243"/>
        </w:trPr>
        <w:tc>
          <w:tcPr>
            <w:tcW w:w="63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13,965</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14,018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13,961</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756,649</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880,586</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758,686</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2,445,338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2,340,868</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Three Months Ended October 31,</w:t>
            </w:r>
          </w:p>
        </w:tc>
      </w:tr>
      <w:tr>
        <w:trPr>
          <w:trHeight w:val="276"/>
        </w:trPr>
        <w:tc>
          <w:tcPr>
            <w:tcW w:w="6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Mountain</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100,933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60,386</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Lodging</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64,286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58,493</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Real estate</w:t>
            </w:r>
          </w:p>
        </w:tc>
        <w:tc>
          <w:tcPr>
            <w:tcW w:w="5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9,348</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9,383</w:t>
            </w:r>
          </w:p>
        </w:tc>
      </w:tr>
      <w:tr>
        <w:trPr>
          <w:trHeight w:val="27"/>
        </w:trPr>
        <w:tc>
          <w:tcPr>
            <w:tcW w:w="6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net revenue</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174,567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128,262</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w w:val="93"/>
              </w:rPr>
              <w:t>Segment operating expense (exclusive of depreciation and amortization shown separately</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below):</w:t>
            </w: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Mountain</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151,158</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131,952</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Lodging</w:t>
            </w:r>
          </w:p>
        </w:tc>
        <w:tc>
          <w:tcPr>
            <w:tcW w:w="5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61,437</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57,754</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9,341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11,614</w:t>
            </w:r>
          </w:p>
        </w:tc>
      </w:tr>
      <w:tr>
        <w:trPr>
          <w:trHeight w:val="237"/>
        </w:trPr>
        <w:tc>
          <w:tcPr>
            <w:tcW w:w="67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segment operating expense</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221,936</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201,320</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income:</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(38,700)</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(35,969)</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on sale of real property</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Gain on litigation settlement (Note 5)</w:t>
            </w:r>
          </w:p>
        </w:tc>
        <w:tc>
          <w:tcPr>
            <w:tcW w:w="5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16,400</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 (Note 8)</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Loss on disposal of fixed assets and other, net</w:t>
            </w: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(1,779)</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6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(86,689)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(88,832)</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Mountain equity investment income, net</w:t>
            </w:r>
          </w:p>
        </w:tc>
        <w:tc>
          <w:tcPr>
            <w:tcW w:w="5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 income (loss), net</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(13,568)</w:t>
            </w:r>
          </w:p>
        </w:tc>
      </w:tr>
      <w:tr>
        <w:trPr>
          <w:trHeight w:val="27"/>
        </w:trPr>
        <w:tc>
          <w:tcPr>
            <w:tcW w:w="6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(96,244)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(102,101)</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5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36,574</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37,777</w:t>
            </w:r>
          </w:p>
        </w:tc>
      </w:tr>
      <w:tr>
        <w:trPr>
          <w:trHeight w:val="27"/>
        </w:trPr>
        <w:tc>
          <w:tcPr>
            <w:tcW w:w="6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5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6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(59,587)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(64,276)</w:t>
            </w:r>
          </w:p>
        </w:tc>
      </w:tr>
      <w:tr>
        <w:trPr>
          <w:trHeight w:val="20"/>
        </w:trPr>
        <w:tc>
          <w:tcPr>
            <w:tcW w:w="6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8"/>
                <w:szCs w:val="18"/>
                <w:color w:val="auto"/>
              </w:rPr>
              <w:t>Per share amounts (Note 3):</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6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loss per share attributable to Vail Resorts, Inc.</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6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20" w:type="dxa"/>
            <w:vAlign w:val="bottom"/>
          </w:tcPr>
          <w:p>
            <w:pPr>
              <w:ind w:left="360"/>
              <w:spacing w:after="0"/>
              <w:rPr>
                <w:sz w:val="20"/>
                <w:szCs w:val="20"/>
                <w:color w:val="auto"/>
              </w:rPr>
            </w:pPr>
            <w:r>
              <w:rPr>
                <w:rFonts w:ascii="Arial" w:cs="Arial" w:eastAsia="Arial" w:hAnsi="Arial"/>
                <w:sz w:val="18"/>
                <w:szCs w:val="18"/>
                <w:color w:val="auto"/>
              </w:rPr>
              <w:t>Diluted net loss per share attributable to Vail Resorts, Inc.</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67"/>
        </w:trPr>
        <w:tc>
          <w:tcPr>
            <w:tcW w:w="67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dividends declared per share</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0.6225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0.4150</w:t>
            </w:r>
          </w:p>
        </w:tc>
      </w:tr>
      <w:tr>
        <w:trPr>
          <w:trHeight w:val="20"/>
        </w:trPr>
        <w:tc>
          <w:tcPr>
            <w:tcW w:w="6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80"/>
          </w:cols>
          <w:pgMar w:left="1020" w:top="580"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4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5"/>
              </w:rPr>
              <w:t>Three Months Ended October 31,</w:t>
            </w:r>
          </w:p>
        </w:tc>
      </w:tr>
      <w:tr>
        <w:trPr>
          <w:trHeight w:val="276"/>
        </w:trPr>
        <w:tc>
          <w:tcPr>
            <w:tcW w:w="5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1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5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1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48</w:t>
            </w:r>
          </w:p>
        </w:tc>
      </w:tr>
      <w:tr>
        <w:trPr>
          <w:trHeight w:val="27"/>
        </w:trPr>
        <w:tc>
          <w:tcPr>
            <w:tcW w:w="5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Vail Resorts, Inc.</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(64,416)</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79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Total Vail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6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w w:val="95"/>
              </w:rPr>
              <w:t>Accumulated Other</w:t>
            </w: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9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1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Total Stockholders'</w:t>
            </w:r>
          </w:p>
        </w:tc>
      </w:tr>
      <w:tr>
        <w:trPr>
          <w:trHeight w:val="174"/>
        </w:trPr>
        <w:tc>
          <w:tcPr>
            <w:tcW w:w="2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9"/>
              </w:rPr>
              <w:t>Earnings</w:t>
            </w: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Treasury Stock</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Comprehensive Loss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Interests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64"/>
        </w:trPr>
        <w:tc>
          <w:tcPr>
            <w:tcW w:w="2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6"/>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July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41,152,800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612,322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401,500</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820,843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13,957</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834,800</w:t>
            </w:r>
          </w:p>
        </w:tc>
      </w:tr>
      <w:tr>
        <w:trPr>
          <w:trHeight w:val="264"/>
        </w:trPr>
        <w:tc>
          <w:tcPr>
            <w:tcW w:w="24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(64,324)</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50"/>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(64,416)</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(64,464)</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4,201</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4,201</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4,201</w:t>
            </w:r>
          </w:p>
        </w:tc>
      </w:tr>
      <w:tr>
        <w:trPr>
          <w:trHeight w:val="163"/>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shares under share award</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2,344</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2,344</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2,344</w:t>
            </w: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interests, net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w:t>
            </w:r>
          </w:p>
        </w:tc>
      </w:tr>
      <w:tr>
        <w:trPr>
          <w:trHeight w:val="210"/>
        </w:trPr>
        <w:tc>
          <w:tcPr>
            <w:tcW w:w="2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October 31, 2014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41,264,761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322,163</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744,725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13,961</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758,686</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July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41,462,941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623,510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440,748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866,568</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14,018</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880,586</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(59,587)</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(59,670)</w:t>
            </w: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(2,408)</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r>
      <w:tr>
        <w:trPr>
          <w:trHeight w:val="25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(61,995)</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(62,078)</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4,090</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4,090</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4,090</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under share award</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103,153</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2,675</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2,675</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2,675</w:t>
            </w: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Repurchases of common stock (Note 11)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Dividends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(22,654)</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(22,654)</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(22,654)</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2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interests,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10"/>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October 31, 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41,566,094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624,274</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358,507</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(233,192)</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742,684</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13,965</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756,649</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60" w:type="dxa"/>
            <w:vAlign w:val="bottom"/>
          </w:tcPr>
          <w:p>
            <w:pPr>
              <w:spacing w:after="0"/>
              <w:rPr>
                <w:sz w:val="16"/>
                <w:szCs w:val="16"/>
                <w:color w:val="auto"/>
              </w:rPr>
            </w:pPr>
          </w:p>
        </w:tc>
      </w:tr>
      <w:tr>
        <w:trPr>
          <w:trHeight w:val="276"/>
        </w:trPr>
        <w:tc>
          <w:tcPr>
            <w:tcW w:w="6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8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(59,670)</w:t>
            </w:r>
          </w:p>
        </w:tc>
        <w:tc>
          <w:tcPr>
            <w:tcW w:w="112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(64,324)</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38,700</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35,969</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6,940</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4,090</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4,201</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(36,574)</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litigation settlement</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Park City litigation settlement payment</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income, net</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7,450</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Trade receivables, net</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62,174</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61,016</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(21,612)</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(20,733)</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83,805</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81,156</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2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(8,870)</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r>
      <w:tr>
        <w:trPr>
          <w:trHeight w:val="237"/>
        </w:trPr>
        <w:tc>
          <w:tcPr>
            <w:tcW w:w="67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74,571</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24,479</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2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(25,077)</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(27,756)</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(182,500)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Other investing activities, net</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3,023</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
        </w:trPr>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(22,054)</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(209,627)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 Revolver</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70,000</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213,000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Payments on Credit Facility Revolver</w:t>
            </w:r>
          </w:p>
        </w:tc>
        <w:tc>
          <w:tcPr>
            <w:tcW w:w="2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(57,500)</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other long-term debt</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(22,654)</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(15,061)</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(40,000)</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Other financing activities, net</w:t>
            </w:r>
          </w:p>
        </w:tc>
        <w:tc>
          <w:tcPr>
            <w:tcW w:w="20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2,829</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2,912</w:t>
            </w:r>
          </w:p>
        </w:tc>
      </w:tr>
      <w:tr>
        <w:trPr>
          <w:trHeight w:val="27"/>
        </w:trPr>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(47,578)</w:t>
            </w:r>
          </w:p>
        </w:tc>
        <w:tc>
          <w:tcPr>
            <w:tcW w:w="1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170,598</w:t>
            </w:r>
          </w:p>
        </w:tc>
      </w:tr>
      <w:tr>
        <w:trPr>
          <w:trHeight w:val="237"/>
        </w:trPr>
        <w:tc>
          <w:tcPr>
            <w:tcW w:w="6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increase (decrease) in cash and cash equivalents</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4,147</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35,459</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44,406</w:t>
            </w:r>
          </w:p>
        </w:tc>
      </w:tr>
      <w:tr>
        <w:trPr>
          <w:trHeight w:val="237"/>
        </w:trPr>
        <w:tc>
          <w:tcPr>
            <w:tcW w:w="6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End of period</w:t>
            </w:r>
          </w:p>
        </w:tc>
        <w:tc>
          <w:tcPr>
            <w:tcW w:w="208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39,606</w:t>
            </w:r>
          </w:p>
        </w:tc>
        <w:tc>
          <w:tcPr>
            <w:tcW w:w="112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29,840</w:t>
            </w:r>
          </w:p>
        </w:tc>
      </w:tr>
      <w:tr>
        <w:trPr>
          <w:trHeight w:val="67"/>
        </w:trPr>
        <w:tc>
          <w:tcPr>
            <w:tcW w:w="67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78"/>
        </w:trPr>
        <w:tc>
          <w:tcPr>
            <w:tcW w:w="67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208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24,631</w:t>
            </w:r>
          </w:p>
        </w:tc>
        <w:tc>
          <w:tcPr>
            <w:tcW w:w="11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10,419</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Capital expenditures under long-term financing</w:t>
            </w:r>
          </w:p>
        </w:tc>
        <w:tc>
          <w:tcPr>
            <w:tcW w:w="208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9,492</w:t>
            </w:r>
          </w:p>
        </w:tc>
      </w:tr>
      <w:tr>
        <w:trPr>
          <w:trHeight w:val="27"/>
        </w:trPr>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or the “Parent Company”)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Mountain segment, the Company operates nine world-class mountain resort properties at the Vail, Breckenridge, Keystone and Beaver Creek mountain resorts in Colorado; Park City in Utah (comprised of the former standalone Park City Mountain Resort acquired in September 2014 and the former Canyons Resort in Park City, Utah); the Heavenly, Northstar, and Kirkwood mountain resorts in the Lake Tahoe area of California and Nevada; Perisher Ski Resort (“Perisher” acquired on June 30, 2015) in New South Wales, Australia; and the ski areas of Afton Alps in Minnesota and Mount Brighton in Michigan (“Urban” ski areas); as well as ancillary services, primarily including ski school, dining and retail/rental operations, and for Perisher including lodging and transportation operations. The resorts located in the United States (except for Northstar, Park City and the Urban ski areas) operate primarily on federal land under the terms of Special Use Permits granted by the USDA Forest Service (the “Forest Service”). The operations of Perisher are conducted pursuant to a long-term lease and license on land owned by the government of New South Wales, Australia.</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U.S. mountain resorts, National Park Service (“NPS”) concessionaire properties including the Grand Teton Lodge Company (“GTLC”), which operates destination resorts in the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and develops real estate in and around the Company’s resort communities.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the United States. The Company’s peak operating season at Perisher, its NPS concessionaire properties and its golf courses generally occur from June to early October. The Company also has non-majority owned investments in various other entities, some of which are consolidated (see Note 7, Variable Interest Entities).</w:t>
      </w:r>
    </w:p>
    <w:p>
      <w:pPr>
        <w:spacing w:after="0" w:line="399" w:lineRule="exact"/>
        <w:rPr>
          <w:sz w:val="20"/>
          <w:szCs w:val="20"/>
          <w:color w:val="auto"/>
        </w:rPr>
      </w:pPr>
    </w:p>
    <w:p>
      <w:pPr>
        <w:ind w:right="7380" w:firstLine="8"/>
        <w:spacing w:after="0" w:line="346"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Consolidated Condensed Financial Statements— </w:t>
      </w:r>
      <w:r>
        <w:rPr>
          <w:rFonts w:ascii="Arial" w:cs="Arial" w:eastAsia="Arial" w:hAnsi="Arial"/>
          <w:sz w:val="16"/>
          <w:szCs w:val="16"/>
          <w:color w:val="auto"/>
        </w:rPr>
        <w:t>In the opinion of the Company, the accompanying Consolidated Condensed Financial Statements reflect all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Consolidated Condensed Financial Statements should be read in conjunction with the audited Consolidated Financial Statements included in the Company’s Annual Report on Form 10-K for the fiscal year ended July 31, 2015. Certain information and footnote disclosures, including significant accounting policies, normally included in fiscal year financial statements prepared in accordance with accounting principles generally accepted in the United States of America (“GAAP”) have been condensed or omitted. The Consolidated Condensed Balance Sheet as of July 31, 2015 was derived from audited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Park City Mountain Resort Retrospective Adjustment</w:t>
      </w:r>
      <w:r>
        <w:rPr>
          <w:rFonts w:ascii="Arial" w:cs="Arial" w:eastAsia="Arial" w:hAnsi="Arial"/>
          <w:sz w:val="18"/>
          <w:szCs w:val="18"/>
          <w:color w:val="auto"/>
        </w:rPr>
        <w:t>— During the fiscal year ended July 31, 2015, the Company recorded a measurement period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its Park City Mountain Resort preliminary purchase price allocation of $13.0 million, which reduced real estate held for sale and investment with a corresponding increase to goodwill and reflected this as a retrospective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adjustment as of October 31, 2014. As such, the October 31, 2014 Consolidated Condensed Balance Sheet reflects this retrospective adjustment.</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Credit Facility Revolver, Credit Facility Term Loan and the Employee Housing Bonds (Note 4, Long-Term Debt) approximate book value due to the variable nature of the interest rate associated with the debt. The fair value of other long-term debt (Note 4, Long-Term Debt) has been estimated using discounted cash flow analyses based on borrowing rates for debt with similar remaining maturities and ratings (a Level 3 input). The estimated fair value of other long-term debt as of October 31, 2015 is presented below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October 31, 2015</w:t>
            </w:r>
          </w:p>
        </w:tc>
        <w:tc>
          <w:tcPr>
            <w:tcW w:w="1220" w:type="dxa"/>
            <w:vAlign w:val="bottom"/>
          </w:tcPr>
          <w:p>
            <w:pPr>
              <w:spacing w:after="0"/>
              <w:rPr>
                <w:sz w:val="16"/>
                <w:szCs w:val="16"/>
                <w:color w:val="auto"/>
              </w:rPr>
            </w:pPr>
          </w:p>
        </w:tc>
      </w:tr>
      <w:tr>
        <w:trPr>
          <w:trHeight w:val="165"/>
        </w:trPr>
        <w:tc>
          <w:tcPr>
            <w:tcW w:w="4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tcPr>
          <w:p>
            <w:pPr>
              <w:jc w:val="center"/>
              <w:ind w:right="304"/>
              <w:spacing w:after="0"/>
              <w:rPr>
                <w:sz w:val="20"/>
                <w:szCs w:val="20"/>
                <w:color w:val="auto"/>
              </w:rPr>
            </w:pPr>
            <w:r>
              <w:rPr>
                <w:rFonts w:ascii="Arial" w:cs="Arial" w:eastAsia="Arial" w:hAnsi="Arial"/>
                <w:sz w:val="14"/>
                <w:szCs w:val="14"/>
                <w:b w:val="1"/>
                <w:bCs w:val="1"/>
                <w:color w:val="auto"/>
                <w:w w:val="97"/>
              </w:rPr>
              <w:t>Carrying</w:t>
            </w:r>
          </w:p>
        </w:tc>
        <w:tc>
          <w:tcPr>
            <w:tcW w:w="700" w:type="dxa"/>
            <w:vAlign w:val="bottom"/>
          </w:tcPr>
          <w:p>
            <w:pPr>
              <w:spacing w:after="0"/>
              <w:rPr>
                <w:sz w:val="14"/>
                <w:szCs w:val="14"/>
                <w:color w:val="auto"/>
              </w:rPr>
            </w:pPr>
          </w:p>
        </w:tc>
        <w:tc>
          <w:tcPr>
            <w:tcW w:w="1220" w:type="dxa"/>
            <w:vAlign w:val="bottom"/>
          </w:tcPr>
          <w:p>
            <w:pPr>
              <w:jc w:val="center"/>
              <w:ind w:right="522"/>
              <w:spacing w:after="0"/>
              <w:rPr>
                <w:sz w:val="20"/>
                <w:szCs w:val="20"/>
                <w:color w:val="auto"/>
              </w:rPr>
            </w:pPr>
            <w:r>
              <w:rPr>
                <w:rFonts w:ascii="Arial" w:cs="Arial" w:eastAsia="Arial" w:hAnsi="Arial"/>
                <w:sz w:val="14"/>
                <w:szCs w:val="14"/>
                <w:b w:val="1"/>
                <w:bCs w:val="1"/>
                <w:color w:val="auto"/>
              </w:rPr>
              <w:t>Fair</w:t>
            </w:r>
          </w:p>
        </w:tc>
      </w:tr>
      <w:tr>
        <w:trPr>
          <w:trHeight w:val="192"/>
        </w:trPr>
        <w:tc>
          <w:tcPr>
            <w:tcW w:w="46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w w:val="96"/>
              </w:rPr>
              <w:t>Value</w:t>
            </w: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22"/>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3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11,410</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11,806</w:t>
            </w:r>
          </w:p>
        </w:tc>
      </w:tr>
      <w:tr>
        <w:trPr>
          <w:trHeight w:val="20"/>
        </w:trPr>
        <w:tc>
          <w:tcPr>
            <w:tcW w:w="462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New Accounting Standards— </w:t>
      </w:r>
      <w:r>
        <w:rPr>
          <w:rFonts w:ascii="Arial" w:cs="Arial" w:eastAsia="Arial" w:hAnsi="Arial"/>
          <w:sz w:val="16"/>
          <w:szCs w:val="16"/>
          <w:color w:val="auto"/>
        </w:rPr>
        <w:t>In May 2014, the Financial Accounting Standards Board (“FASB”) issued Accounting Standards Update (“ASU”) No. 2014-09,</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This standard will be effective for the first interim period within fiscal years beginning after December 15, 2017 (the Company's 2019 first fiscal quarter if it does not early adopt), using one of two retrospective application methods. The Company is evaluating the impacts, if any, the adoption of this accounting standard will have on the Company's financial position or results of operations and cash flows.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2015, the FASB issued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guidance in the new standard is limited to the presentation of debt issuance costs and does not affect the recognition and measurement of debt issuance costs. In June 2015, the FASB issued ASU No. 2015-15, "Interest - Imputation of Interest (Subtopic 835-30): Presentation and Subsequent Measurement of Debt Issuance Costs Associated with Line-of-Credit Arrangements."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stated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will be effective for the first interim period within fiscal years beginning after December 15, 2015 (the Company’s 2017 first fiscal quarter) and early adoption is permitted for financial statements that have not been previously issued. The standard should be applied on a retrospective basis. The adoption of this new accounting standard will amend presentation and disclosure requirements concerning debt issuance costs, and as such the adoption will not affect the Company’s overall financial position or results of operations and cash flows.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The standard provides guidance about whether a cloud computing arrangement includes a software license. If a cloud computing arrangement includes a software license, then the software license element of the arrangement should be accounted for as an acquisition of a software license. If a cloud computing arrangement does not include a software license, it should be accounted for as a service contract. The standard will be effective for the first interim period within fiscal years beginning after December 15, 2015 (the Company’s 2017 first fiscal quarter) and may be adopted either retrospectively or prospectively. The Company is evaluating the impacts, if any, the adoption of this accounting standard will have on the Company's financial position or results of operations and cash flows.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This standard provides guidance on the measurement of inventory that is measured using first-in, first-out or average cost. An entity should measure in scope inventory at the lower of cost and net realizable value. Net realizable value is the estimated selling prices in the ordinary course of business, less reasonably predictable costs of completion, disposal and transportation. The standard will be effective for the first interim period within fiscal years beginning after December 15, 2016 (the Company’s 2018 first fiscal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quarter) and is required to be adopted prospectively and early adoption is permitted. The Company is evaluating the impacts, if any, the adoption of this accounting standard will have on the Company's financial position or results of operations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2015, the FASB issued ASU No. 2015-16, “Simplifying the Accounting for Measurement-Period Adjustments.” The standard requires that adjustments to provisional amounts identified during the measurement period of a business combination be recognized in the reporting period in which those adjustments are determined, including the effect on earnings, if any, calculated as if the accounting had been completed at the acquisition date. The standard eliminates the previous requirement to retrospectively account for such adjustments but requires additional disclosures related to the income statement effects of adjustments to provisional amounts identified during the measurement period. The standard is effective for the annual period beginning after December 15, 2015 and interim periods within those annual periods (the Company's 2017 first fiscal quarter), with early adoption permitted, and is to be applied prospectively. The Company plans on early adopting this standard and would apply this standard, as applicable, on any future measurement period adjustments.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standard changes how deferred taxes are classified on an entity’s balance sheets. The standard eliminates the current requirement for entities to present deferred tax liabilities and assets as current and noncurrent in a classified balance sheet. Instead, entities will be required to classify all deferred tax assets and liabilities as noncurrent. The standard is effective for financial statements issued for annual periods beginning after December 15, 2016 (the Company’s 2018 first fiscal quarter), with early adoption permitted, and may be applied prospectively or retrospectively. The adoption of this new accounting standard will amend presentation requirements and as such the adoption will not affect the Company’s overall financial position or results of operations and cash flows.</w:t>
      </w:r>
    </w:p>
    <w:p>
      <w:pPr>
        <w:spacing w:after="0" w:line="37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 Presented below is basic and diluted EPS for the three months ended October 31, 2015 and 2014 (in thousands, except per share amounts):</w:t>
      </w:r>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9"/>
              </w:rPr>
              <w:t>Three Months Ended October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spacing w:after="0"/>
              <w:rPr>
                <w:sz w:val="24"/>
                <w:szCs w:val="24"/>
                <w:color w:val="auto"/>
              </w:rPr>
            </w:pPr>
          </w:p>
        </w:tc>
      </w:tr>
      <w:tr>
        <w:trPr>
          <w:trHeight w:val="264"/>
        </w:trPr>
        <w:tc>
          <w:tcPr>
            <w:tcW w:w="4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Basic</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Diluted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Diluted</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Net loss attributable to Vail Resorts</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(59,587)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(59,587)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(64,276)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(64,276)</w:t>
            </w:r>
          </w:p>
        </w:tc>
      </w:tr>
      <w:tr>
        <w:trPr>
          <w:trHeight w:val="27"/>
        </w:trPr>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36,471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36,471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36,249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36,249</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3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36,471</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36,471</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36,249</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36,249</w:t>
            </w:r>
          </w:p>
        </w:tc>
      </w:tr>
      <w:tr>
        <w:trPr>
          <w:trHeight w:val="237"/>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 per share attributable to Vail Resorts</w:t>
            </w: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(1.63)</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on the exercise of share based awards excluded from the calculation of diluted net loss per share because the effect of their inclusion would have been anti-dilutive totaled 1.6 million and 1.7 million for the three months ended October 31, 2015 and 2014, respectively.</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paid dividends of $0.6225 per share and $0.4150 per share ($22.7 million and $15.1 million in the aggregate) during the three months ended October 31, 2015 and 2014, respectively. On December 4, 2015 the Company’s Board of Directors declared a quarterly cash dividend of $0.6225 per share payable on January 12, 2016 to stockholders of record as of December 28, 2015.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October 31, 2015, July 31, 2015 and October 31, 2014 is summarized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Maturity (a)</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October 31, 2015</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31, 2015</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October 31, 2014</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Revolver</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Credit Facility Term Loan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Bonds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Employee Housing Bonds</w:t>
            </w:r>
          </w:p>
        </w:tc>
        <w:tc>
          <w:tcPr>
            <w:tcW w:w="2660" w:type="dxa"/>
            <w:vAlign w:val="bottom"/>
          </w:tcPr>
          <w:p>
            <w:pPr>
              <w:jc w:val="center"/>
              <w:ind w:left="1272"/>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52,575</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Notes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Canyons obligation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2063</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318,866</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317,455</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313,258</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center"/>
              <w:ind w:left="1272"/>
              <w:spacing w:after="0"/>
              <w:rPr>
                <w:sz w:val="20"/>
                <w:szCs w:val="20"/>
                <w:color w:val="auto"/>
              </w:rPr>
            </w:pPr>
            <w:r>
              <w:rPr>
                <w:rFonts w:ascii="Arial" w:cs="Arial" w:eastAsia="Arial" w:hAnsi="Arial"/>
                <w:sz w:val="18"/>
                <w:szCs w:val="18"/>
                <w:color w:val="auto"/>
                <w:w w:val="90"/>
              </w:rPr>
              <w:t>2016-2029</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11,436</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15,227</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830,377</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816,830</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820,260</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(b)</w:t>
            </w:r>
          </w:p>
        </w:tc>
        <w:tc>
          <w:tcPr>
            <w:tcW w:w="2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13,319</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10,154</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2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817,058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806,676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819,238</w:t>
            </w:r>
          </w:p>
        </w:tc>
      </w:tr>
      <w:tr>
        <w:trPr>
          <w:trHeight w:val="27"/>
        </w:trPr>
        <w:tc>
          <w:tcPr>
            <w:tcW w:w="38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Maturities are based on the Company’s July 31 fiscal year end.</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for debt outstanding as of October 31, 2015 reflected by fiscal year are as follows (in thousands):</w:t>
      </w:r>
    </w:p>
    <w:p>
      <w:pPr>
        <w:spacing w:after="0" w:line="383"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9,790</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2017</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13,354</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13,397</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2019</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13,455</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401,641</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378,740</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830,377</w:t>
            </w:r>
          </w:p>
        </w:tc>
      </w:tr>
      <w:tr>
        <w:trPr>
          <w:trHeight w:val="20"/>
        </w:trPr>
        <w:tc>
          <w:tcPr>
            <w:tcW w:w="2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gross interest expense of $10.6 million and $13.6 million for the three months ended October 31, 2015 and 2014, respectively, of which $0.2 million and $0.4 million, respectively, were amortization of deferred financing costs. The Company had no capitalized interest during the three months ended October 31, 2015 and 2014.</w:t>
      </w:r>
    </w:p>
    <w:p>
      <w:pPr>
        <w:spacing w:after="0" w:line="17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Perisher Ski Resort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30, 2015, VR Australia Holdings Pty Limited, a wholly-owned subsidiary of the Company, and Murray Publishers Pty Ltd, Consolidated Press Holdings Pty Limited, Transfield Corporate Pty Limited and Transfield Pty Limited (collectively, “Perisher Sellers”) entered into a Purchase and Sale Agreement (the “Perisher Purchase Agreement”) providing for the acquisition of 100% of the stock and units in the entities that operate Perisher Ski Resort (“Perisher”) in New South Wales, Australia. On June 30, 2015, the Company closed on the acquisition of Perisher, for total cash consideration of $124.6 million, net of cash acquired. The Company funded the cash purchase price through borrowings under the revolver portion of its senior credit facility (“Credit Agreement”). Perisher holds a long-term lease and license with the New South Wales Government under the National Parks and Wildlife Act, which expires in 2048 with a 20-year renewal option. As provided under the Perisher Purchase Agreement, the Company acquired the entities that hold the assets, conduct operations and includes the long-term lease and license with the New South Wales government for the ski area and related amenities of Perisher, including assumed liabilities, from Perisher Sellers.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following summarizes the preliminary estimated fair values of the identifiable assets acquired and liabilities assumed at the date the transaction was effective (in thousands).</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Estimates of Fair Value at</w:t>
            </w:r>
          </w:p>
        </w:tc>
      </w:tr>
      <w:tr>
        <w:trPr>
          <w:trHeight w:val="234"/>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Effective Date of Transaction</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4,859</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5,458</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31,657</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assets acquired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170,280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11,394</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18,429</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45,729</w:t>
            </w:r>
          </w:p>
        </w:tc>
      </w:tr>
      <w:tr>
        <w:trPr>
          <w:trHeight w:val="237"/>
        </w:trPr>
        <w:tc>
          <w:tcPr>
            <w:tcW w:w="4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 net of cash acquired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124,551</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acquisition of Perisher are preliminary and are based on the information that was available as of the acquisition date to estimate the fair value of assets acquired and liabilities assumed. The Company believes that information provides a reasonable basis for estimating the fair values of assets acquired and liabilities assumed, but the Company is obtaining additional information necessary to finalize those fair values. Therefore, the preliminary measurements of fair value reflected are subject to change. The Company expects to finalize the valuation and complete the purchase price allocation as soon as practicable but no later than one year from the acquisition date.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excess of the purchase price over the aggregate fair values of assets acquired and liabilities assumed was recorded as goodwill. The goodwill recognized is attributable primarily to expected synergies, the assembled workforce of Perisher and other factors. None of the goodwill is expected to be deductible for income tax purposes under Australian tax law. The intangible assets primarily consist of trademarks and customer lists. The definite-lived intangible assets have a weighted-average amortization period of approximately 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 City Mountain Resort</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11, 2014, VR CPC Holdings, Inc. ("VR CPC"), a wholly-owned subsidiary of the Company, and Greater Park City Company, Powdr Corp., Greater Properties, Inc., Park Properties, Inc., and Powdr Development Company (collectively, “Park City Sellers”) entered into a Purchase and Sale Agreement (the “Purchase Agreement”) providing for the acquisition of substantially all of the assets related to Park City Mountain Resort in Park City, Utah. The cash purchase price was $182.5 million and was funded through borrowings under the revolver portion of the Company's senior credit facility.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provided under the Purchase Agreement, the Company acquired the property, assets and operations of Park City Mountain Resort, which includes the ski area and related amenities, from Park City Sellers and assumed leases of certain realty, acquired certain assets, and assumed certain liabilities of Park City Sellers relating to Park City Mountain Resort. In addition to the Purchase Agreement, the parties settled the litigation related to the validity of a lease of certain land owned by Talisker Land Holdings, LLC under the ski terrain of Park City Mountain Resort (the "Park City Litigation"). In connection with settling the Park City Litigation, the Company recorded a non-cash gain of $16.4 million in the Mountain segment for the three months ended October 31, 2014. The gain on litigation settlement represented the estimated fair value of the rents (including damages and interest) due the Company from the Park City Sellers for their use of land and improvements from the Canyons transaction date of May 29, 2013 to the Park City Mountain Resort acquisition date. Additionally, the Company assigned a fair value of $10.1 million to the settlement of the Park City Litigation that applied to the period prior to the Canyons transaction. The combined fair value of the Park City Litigation settlement of $26.5 million was determined by applying market capitalization rates to the estimated fair market value of the land and improvements, plus an estimate of statutory damages and interest. The estimated fair value of the Park City Litigation settlement was not received in cash, but was instead reflected as part of the cash price negotiated for the Park City Mountain Resort acquisition. Accordingly, the estimated fair value of the Park City Litigation settlement was included in the total consideration for the acquisition of Park City Mountain Resort. Under an agreement entered into in conjunction with the Canyons transaction, the Company made a $10.0 million payment to Talisker in the three months ended October 31, 2014, resulting from the settlement of the Park City Litigation.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summarizes the fair values of the identifiable assets acquired and liabilities assumed at the date the transaction was effective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Acquisition Date Fair Value</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7,428</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27,650</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92,516</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identifiable assets acquired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215,204</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208,950</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fiscal year ended July 31, 2015, the Company recorded an adjustment to its preliminary purchase price allocation of $13.0 million, which reduced real estate held for sale and investment with a corresponding increase to goodwill and reflected this as a retrospective adjustment as of October 31, 2014.</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excess of the purchase price over the aggregate fair values of assets acquired and liabilities assumed was recorded as goodwill. The goodwill recognized is attributable primarily to expected synergies, the assembled workforce of Park City Mountain Resort and other factors. The majority of goodwill is expected to be deductible for income tax purposes. The intangible assets primarily consist of trademarks, water rights, and customer lists. The intangible assets have a weighted-average amortization period of approximately 46 years. The operating results of Park City, which are recorded in the Mountain segment, contributed $0.8 million of net revenue for the three months ended October 31, 2014. Additionally, the Company recognized $0.9 million of transaction related expenses in Mountain operating expense in the Consolidated Condensed Statements of Operations for the three months ended October 31, 2014.</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land and improvements in the Park City Mountain Resort ski area (excluding the base area) were part of the Talisker leased premises to Park City Mountain Resort and were subject to the Park City Litigation as of the Canyons transaction date (May 29, 2013), and as such, were recorded as a deposit ("Park City Deposit") for the potential future interests in the land and associated improvements at its estimated fair value in conjunction with the Canyons transaction. Upon settlement of the Park City Litigation, the land and improvements associated with the Talisker leased premises became subject to the Canyons lease, and as a result, the Company reclassified the Park City Deposit to the respective assets within property, plant and equipment in the three months ended October 31, 2014. The inclusion of the land and certain land improvements that was subject to the Park City Litigation and now included in the Canyons lease requires no additional consideration from the Company to Talisker, but the financial contribution from the operations of Park City Mountain Resort will be included as part of the calculation of EBITDA for the resort operations, and as a result, factor into the participating contingent payments (see Note 8, Fair Value Measurements). The majority of the assets acquired under the Park City Mountain Resort acquisition, although not under lease, are subject to the terms and conditions of the Canyons lease.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Perisher and Park City Mountain Resort Pro Forma Financial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acquisitions of Perisher and Park City Mountain Resort were completed on August 1, 2014. The following unaudited pro forma financial information includes adjustments for (i) depreciation on acquired property, plant and equipment; (ii) amortization of intangible assets recorded at the date of the transactions; (iii) related-party land leases; and (iv) transaction and business integration related costs. This unaudited pro forma financial information is presented for informational purposes only and does not purport to be indicative of the results of future operations or the results that would have occurred had the transaction taken place on August 1, 2014 (in thousands, except per share amounts).</w:t>
      </w:r>
    </w:p>
    <w:p>
      <w:pPr>
        <w:spacing w:after="0" w:line="35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6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Three Months Ended October 31,</w:t>
            </w:r>
          </w:p>
        </w:tc>
      </w:tr>
      <w:tr>
        <w:trPr>
          <w:trHeight w:val="270"/>
        </w:trPr>
        <w:tc>
          <w:tcPr>
            <w:tcW w:w="5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60" w:type="dxa"/>
            <w:vAlign w:val="bottom"/>
          </w:tcPr>
          <w:p>
            <w:pPr>
              <w:jc w:val="right"/>
              <w:ind w:right="1450"/>
              <w:spacing w:after="0"/>
              <w:rPr>
                <w:sz w:val="20"/>
                <w:szCs w:val="20"/>
                <w:color w:val="auto"/>
              </w:rPr>
            </w:pPr>
            <w:r>
              <w:rPr>
                <w:rFonts w:ascii="Arial" w:cs="Arial" w:eastAsia="Arial" w:hAnsi="Arial"/>
                <w:sz w:val="18"/>
                <w:szCs w:val="18"/>
                <w:b w:val="1"/>
                <w:bCs w:val="1"/>
                <w:color w:val="auto"/>
              </w:rPr>
              <w:t>2014</w:t>
            </w:r>
          </w:p>
        </w:tc>
      </w:tr>
      <w:tr>
        <w:trPr>
          <w:trHeight w:val="27"/>
        </w:trPr>
        <w:tc>
          <w:tcPr>
            <w:tcW w:w="5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172,577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Pro forma net loss attributable to Vail Resorts, Inc.</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160" w:type="dxa"/>
            <w:vAlign w:val="bottom"/>
          </w:tcPr>
          <w:p>
            <w:pPr>
              <w:jc w:val="right"/>
              <w:spacing w:after="0"/>
              <w:rPr>
                <w:sz w:val="20"/>
                <w:szCs w:val="20"/>
                <w:color w:val="auto"/>
              </w:rPr>
            </w:pPr>
            <w:r>
              <w:rPr>
                <w:rFonts w:ascii="Arial" w:cs="Arial" w:eastAsia="Arial" w:hAnsi="Arial"/>
                <w:sz w:val="18"/>
                <w:szCs w:val="18"/>
                <w:color w:val="auto"/>
              </w:rPr>
              <w:t>(54,607)</w:t>
            </w:r>
          </w:p>
        </w:tc>
      </w:tr>
      <w:tr>
        <w:trPr>
          <w:trHeight w:val="27"/>
        </w:trPr>
        <w:tc>
          <w:tcPr>
            <w:tcW w:w="5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basic net loss per share attributable to Vail Resorts, Inc.</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w w:val="98"/>
              </w:rPr>
              <w:t>Pro forma diluted net loss per share attributable to Vail Resorts, Inc.</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1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460" w:type="dxa"/>
            <w:vAlign w:val="bottom"/>
          </w:tcPr>
          <w:p>
            <w:pPr>
              <w:ind w:left="400"/>
              <w:spacing w:after="0"/>
              <w:rPr>
                <w:sz w:val="20"/>
                <w:szCs w:val="20"/>
                <w:color w:val="auto"/>
              </w:rPr>
            </w:pPr>
            <w:r>
              <w:rPr>
                <w:rFonts w:ascii="Arial" w:cs="Arial" w:eastAsia="Arial" w:hAnsi="Arial"/>
                <w:sz w:val="18"/>
                <w:szCs w:val="18"/>
                <w:b w:val="1"/>
                <w:bCs w:val="1"/>
                <w:color w:val="auto"/>
              </w:rPr>
              <w:t>Supplementary Balance Sheet Information</w:t>
            </w: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The composition of property, plant and equipment follows (in thousands):</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October 31, 2015</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2015</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October 31, 2014</w:t>
            </w: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431,798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431,854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409,060</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1,006,033</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1,006,821</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948,932</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814,362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815,946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731,782</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289,173</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286,863</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268,536</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107,063</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106,433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98,899</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61,546</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61,036</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55,788</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86,042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53,158</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74,996</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property, plant and equipment</w:t>
            </w:r>
          </w:p>
        </w:tc>
        <w:tc>
          <w:tcPr>
            <w:tcW w:w="5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2,796,017</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2,762,111</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2,587,993</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5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(1,407,452)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(1,375,836)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(1,292,463)</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1,388,565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1,386,275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1,295,530</w:t>
            </w:r>
          </w:p>
        </w:tc>
      </w:tr>
      <w:tr>
        <w:trPr>
          <w:trHeight w:val="27"/>
        </w:trPr>
        <w:tc>
          <w:tcPr>
            <w:tcW w:w="2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October 31, 2015</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July 31, 2015</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October 31, 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101,016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62,099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240,288</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145,949</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198,133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11,878</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33,461</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22,818</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24,436</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20,046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15,979</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19,336</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46,858</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46,018</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45,063</w:t>
            </w:r>
          </w:p>
        </w:tc>
      </w:tr>
      <w:tr>
        <w:trPr>
          <w:trHeight w:val="27"/>
        </w:trPr>
        <w:tc>
          <w:tcPr>
            <w:tcW w:w="4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accrued liabilities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438,837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331,299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390,270</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13</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October 31, 2015</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July 31, 2015</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October 31, 2014</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124,449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126,104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127,879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7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29,279</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29,997</w:t>
            </w:r>
          </w:p>
        </w:tc>
        <w:tc>
          <w:tcPr>
            <w:tcW w:w="3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30,817</w:t>
            </w: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7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100,523</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99,815</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96,490</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other long-term liabilities</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254,251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255,916</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255,186</w:t>
            </w:r>
          </w:p>
        </w:tc>
      </w:tr>
      <w:tr>
        <w:trPr>
          <w:trHeight w:val="27"/>
        </w:trPr>
        <w:tc>
          <w:tcPr>
            <w:tcW w:w="4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Variable Interest Entities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the primary beneficiary of four employee housing entities (collectively, the “Employee Housing Entities”), Breckenridge Terrace, LLC, The Tarnes at BC, LLC, BC Housing, LLC and Tenderfoot Seasonal Housing, LLC, which are variable interest entities (“VIEs”), and the Company has consolidated them in its Consolidated Condensed Financial Statements. As a group, as of October 31, 2015, the Employee Housing Entities had total assets of $25.9 million (primarily recorded in property, plant and equipment, net) and total liabilities of $64.3 million (primarily recorded in long-term debt as “Employee Housing Bonds”). The Company’s lenders have issued letters of credit totaling $53.4 million under the Company's Credit Agreement related to Employee Housing Bonds. Payments under the letters of credit would be triggered in the event that one of the entities defaults on required payments. The letters of credit have no default provisions.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the primary beneficiary of Avon Partners II, LLC (“APII”), which is a VIE. APII owns commercial space and the Company leases substantially all of that space. APII had total assets of $4.3 million (primarily recorded in property, plant and equipment, net) and no debt as of October 31, 2015.</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Accounting Standards Board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and Contingent Consideration measured at fair value (all other assets and liabilities measured at fair value are immaterial)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October 31, 2015</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4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Balance at October 31, 2015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2,901</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2,901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July 31, 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Balance at July 31, 2015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October 31, 2014</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Balance at October 31, 2014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8,391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1,770</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1,770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three months ended October 31, 2015 and 2014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238125</wp:posOffset>
            </wp:positionV>
            <wp:extent cx="601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8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Balance as of July 31, 2015 and 2014, respectively</w:t>
            </w:r>
          </w:p>
        </w:tc>
        <w:tc>
          <w:tcPr>
            <w:tcW w:w="14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7"/>
        </w:trPr>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October 31, 2015 and 2014, respectively</w:t>
            </w:r>
          </w:p>
        </w:tc>
        <w:tc>
          <w:tcPr>
            <w:tcW w:w="14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4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lease for Canyons provides for participating contingent payments to Talisker of 42% of the amount by which EBITDA for the resort operations, as calculated under the lease, exceed approximately $35 million, as established at the transaction date, with such threshold amount subsequently increased annually by an inflation linked index and a 10% adjustment for any capital improvements or investments made under the lease by the Company (the "Contingent Consideration"). The fair value of Contingent Consideration includes the resort operations of Park City Mountain Resort, following completion of the acquisition,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Mountain Resort. The Company estimated the fair value of the Contingent Consideration payments using an option pricing valuation model. As of October 31, 2015, key assumptions included a discount rate of 11.5%, volatility of 20.0%, and credit risk of 2.5%. The model also incorporates assumptions for EBITDA and</w:t>
      </w:r>
    </w:p>
    <w:p>
      <w:pPr>
        <w:sectPr>
          <w:pgSz w:w="11900" w:h="16838" w:orient="portrait"/>
          <w:cols w:equalWidth="0" w:num="1">
            <w:col w:w="11420"/>
          </w:cols>
          <w:pgMar w:left="240" w:top="58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6" w:name="page17"/>
    <w:bookmarkEnd w:id="16"/>
    <w:p>
      <w:pPr>
        <w:jc w:val="both"/>
        <w:ind w:right="20"/>
        <w:spacing w:after="0" w:line="302" w:lineRule="auto"/>
        <w:rPr>
          <w:sz w:val="20"/>
          <w:szCs w:val="20"/>
          <w:color w:val="auto"/>
        </w:rPr>
      </w:pPr>
      <w:r>
        <w:rPr>
          <w:rFonts w:ascii="Arial" w:cs="Arial" w:eastAsia="Arial" w:hAnsi="Arial"/>
          <w:sz w:val="16"/>
          <w:szCs w:val="16"/>
          <w:color w:val="auto"/>
        </w:rPr>
        <w:t>capital expenditures, which are unobservable inputs and thus are considered Level 3 inputs. As Contingent Consideration is classified as a liability, the liability is remeasured to fair value at each reporting date until the contingency is resolved. During the three months ended October 31, 2015, the Company did not record a change in the estimated fair value of the participating contingent payments. The estimated fair value of the contingent consideration is $6.9 million as of October 31, 2015, and this liability is recorded in other long-term liabilities in the Consolidated Condensed Balance Sheets.</w:t>
      </w:r>
    </w:p>
    <w:p>
      <w:pPr>
        <w:spacing w:after="0" w:line="366" w:lineRule="exact"/>
        <w:rPr>
          <w:sz w:val="20"/>
          <w:szCs w:val="20"/>
          <w:color w:val="auto"/>
        </w:rPr>
      </w:pPr>
    </w:p>
    <w:p>
      <w:pPr>
        <w:ind w:right="8540" w:firstLine="8"/>
        <w:spacing w:after="0" w:line="367" w:lineRule="auto"/>
        <w:tabs>
          <w:tab w:leader="none" w:pos="31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Metropolitan Districts</w:t>
      </w:r>
    </w:p>
    <w:p>
      <w:pPr>
        <w:jc w:val="both"/>
        <w:spacing w:after="0" w:line="272" w:lineRule="auto"/>
        <w:rPr>
          <w:sz w:val="20"/>
          <w:szCs w:val="20"/>
          <w:color w:val="auto"/>
        </w:rPr>
      </w:pPr>
      <w:r>
        <w:rPr>
          <w:rFonts w:ascii="Arial" w:cs="Arial" w:eastAsia="Arial" w:hAnsi="Arial"/>
          <w:sz w:val="17"/>
          <w:szCs w:val="17"/>
          <w:color w:val="auto"/>
        </w:rPr>
        <w:t>The Company credit-enhances $8.0 million of bonds issued by Holland Creek Metropolitan District (“HCMD”) through an $8.1 million letter of credit issued under the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and the Company has recorded a liability of $1.8 million primarily within “other long-term liabilities” in the accompanying Consolidated Condensed Balance Sheets, as of October 31, 2015, July 31, 2015 and October 31, 2014, respectively, with respect to the estimated present value of future RSRMD capital improvement fees. The Company estimates it will make capital improvement fee payments under this arrangement through the year ending July 31, 2029.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2015, the Company had various other letters of credit for $64.6 million, consisting primarily of $53.4 million to support the Employee Housing Bonds and $11.2 million for workers’ compensation, general liability construction related deductibles and other activities. The Company also had surety bonds of $9.3 million as of October 31, 2015, primarily to provide collateral for its workers compensation self-insurance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to licensees in connection with the licensees’ use of the Company’s trademarks and logos, indemnities for liabilities associated with the infringement of other parties’ technology and software products, indemnities related to liabilities associated with the use of easements, indemnities related to employment of contract workers, the Company’s use of trustees, indemnities related to the Company’s use of public lands and environmental indemnifications. The duration of these indemnities generally is indefinite and generally do not limit the future payments the Company could be obligated to make.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future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Self Insurance</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self-insured for claims under its health benefit plans and for the majority of workers’ compensation claims. Workers compensation claims are subject to stop loss policies. The self-insurance liability related to workers’ compensation is determined actuarially based on claims filed. The self-insurance liability related to claims under the Company’s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loss contingencies for all known matters deemed to be probable losses and estimable. As of October 31, 2015, July 31, 2015 and October 31, 2014, the accrual for the above loss contingencies was not material individually and in the aggregate.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three reportable segments: Mountain, Lodging and Real Estate. The Mountain segment includes the operations of the Company’s mountain resorts and Urban ski areas and related ancillary services. The Lodging segment includes the operations of all of the Company’s owned hotels in the U.S., RockResorts, NPS concessionaire properties, condominium management, CME and mountain resort golf operations. The Real Estate segment owns and develops real estate in and around the Company’s resort communities. The Company’s reportable segments, although integral to the success of each other, offer distinctly different products and services and require different types of management focus. As such, these segments are managed separately.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reports its segment results using Reported EBITDA (defined as segment net revenue less segment operating expenses, plus or minus segment equity investment income or loss, plus gain on litigation settlement and for the Real Estate segment, plus gain on sale of real property), which is a non-GAAP financial measure. The Company reports segment results in a manner consistent with management’s internal reporting of operating results to the chief operating decision maker (the Chief Executive Officer) for purposes of evaluating segment performance.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Reported EBITDA is not a measure of financial performance under GAAP. Items excluded from Reported EBITDA are significant components in understanding and assessing financial performance. Reported EBITDA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Reported EBITDA is not a measurement determined in accordance with GAAP and thus is susceptible to varying calculations, Reported EBITDA as presented may not be comparable to other similarly titled measures of other companies.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plus gain on litigation settlement. Lodging Reported EBITDA consists of Lodging net revenue less Lodging operating expense. Real Estate Reported EBITDA consists of Real Estate net revenue less Real Estate operating expense plus gain on sale of real property. All segment expenses include an allocation of corporate administrative expenses. Assets are not allocated between segments, or used to evaluate performance, except as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Three Months Ended October 31,</w:t>
            </w:r>
          </w:p>
        </w:tc>
      </w:tr>
      <w:tr>
        <w:trPr>
          <w:trHeight w:val="276"/>
        </w:trPr>
        <w:tc>
          <w:tcPr>
            <w:tcW w:w="4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2014</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Lift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20,153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3,384</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Dining</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12,355</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8,039</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32,389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29,473</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32,652</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22,874</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100,933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60,386</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Lodging</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64,286</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58,493</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165,219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118,879</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9,348</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9,383</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174,567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128,262</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151,158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131,952</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Lodging</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61,437</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57,754</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212,595</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189,706</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9,341</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11,614</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221,936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201,320</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80" w:type="dxa"/>
            <w:vAlign w:val="bottom"/>
          </w:tcPr>
          <w:p>
            <w:pPr>
              <w:ind w:left="20"/>
              <w:spacing w:after="0"/>
              <w:rPr>
                <w:sz w:val="20"/>
                <w:szCs w:val="20"/>
                <w:color w:val="auto"/>
              </w:rPr>
            </w:pPr>
            <w:r>
              <w:rPr>
                <w:rFonts w:ascii="Arial" w:cs="Arial" w:eastAsia="Arial" w:hAnsi="Arial"/>
                <w:sz w:val="18"/>
                <w:szCs w:val="18"/>
                <w:color w:val="auto"/>
              </w:rPr>
              <w:t>Gain on litigation settlement</w:t>
            </w:r>
          </w:p>
        </w:tc>
        <w:tc>
          <w:tcPr>
            <w:tcW w:w="86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16,400</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842</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Mountain</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(49,383)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(54,841)</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8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2,849</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37"/>
        </w:trPr>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Resort</w:t>
            </w:r>
          </w:p>
        </w:tc>
        <w:tc>
          <w:tcPr>
            <w:tcW w:w="8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(46,534)</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(54,102)</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8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1,166</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37"/>
        </w:trPr>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(45,368)</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(56,333)</w:t>
            </w:r>
          </w:p>
        </w:tc>
      </w:tr>
      <w:tr>
        <w:trPr>
          <w:trHeight w:val="67"/>
        </w:trPr>
        <w:tc>
          <w:tcPr>
            <w:tcW w:w="4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56"/>
        </w:trPr>
        <w:tc>
          <w:tcPr>
            <w:tcW w:w="4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120,769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157,182</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4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Reconciliation to net loss attributable to Vail Resorts, Inc.:</w:t>
            </w:r>
          </w:p>
        </w:tc>
        <w:tc>
          <w:tcPr>
            <w:tcW w:w="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(56,333)</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(38,700)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(35,969)</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8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(loss), net</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(13,568)</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(96,244)</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(102,101)</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Benefit from income taxes</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36,574</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37,777</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8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(59,587)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(64,276)</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9, 2006, the Company’s Board of Directors approved the repurchase of up to 3,000,000 shares of common stock and on July 16, 2008 approved an increase of the Company’s common stock repurchase authorization by an additional 3,000,000 shares. During the three months ended October 31, 2015 and 2014, the Company repurchased 377,830 shares (at a total cost of $40.0 million) and zero shares of common stock, respectively. Since inception of its share repurchase program through October 31, 2015, the Company has repurchased 5,326,941 shares at a cost of approximately $233.2 million. As of October 31, 2015, 673,059 shares remained available to repurchase under the existing share repurchase program. On December 4, 2015, the Company's Board of Directors approved an increase in the number of shares authorized to be repurchased under the share repurchase program by an additional 1,500,000 shares. As a result, 2,173,059 shares are available to repurchase under the share repurchase program. Shares of common stock purchased pursuant to the repurchase program will be held as treasury shares and may be used for the issuance of shares under the Company’s employee share award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October 31, 2015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in conjunction with our Annual Report on Form 10-K for the fiscal year ended July 31, 2015 (“Form 10-K”) and the Consolidated Condensed Financial Statements as of October 31, 2015 and 2014 and for the three months then ended, included in Part I, Item 1 of this Form 10-Q, which provide additional information regarding our financial position, results of operations and cash flows. To the extent that the following Management’s Discussion and Analysis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Management’s Discussion and Analysis includes discussion of financial performance within each of our segments. We have chosen to specifically include Reported EBITDA (defined as segment net revenue less segment operating expense, plus or minus segment equity investment income or loss, plus gain on litigation settlement and for the Real Estate segment, plus gain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Reported EBITDA and Net Debt are not measures of financial performance or liquidity under accounting principles generally accepted in the United States of America (“GAAP”). We utilize Reported EBITDA in evaluating our performance and in allocating resources to our segments. Refer to the end of the "Results of Operations" section below for a reconciliation of Reported EBITDA to net loss attributable to Vail Resorts, Inc. We also believe that Net Debt is an important measurement as it is an indicator of our ability to obtain additional capital resources for our future cash needs. Refer to the end of the "Results of Operations" section below for a reconciliation of Net Debt.</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and are susceptible to varying calculations, Reported EBITDA and Net Debt as presented may not be comparable to other similarly titled measures of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Mountain segment is comprised of the operations of mountain resort properties at the Vail, Breckenridge, Keystone and Beaver Creek mountain resorts in Colorado (“Colorado” resorts); Park City in Utah (comprised of the former standalone Park City Mountain Resort acquired in September 2014 and the former Canyons Resort in Park City, Utah); the Heavenly, Northstar and Kirkwood mountain resorts in the Lake Tahoe area of California and Nevada (“Tahoe” resorts); Perisher Ski resort (“Perisher” acquired in June 2015) in New South Wales, Australia; and, the ski areas of Afton Alps in Minnesota and Mount Brighton in Michigan (“Urban” ski areas); as well as ancillary services, primarily including ski school, dining and retail/rental operations, and for Perisher including lodging and transportation operations. Mountain segment revenue is seasonal, with the majority of revenue earned from our U.S. mountain resorts and ski areas occurring in our second and third fiscal quarters and the majority of revenue earned from Perisher occurring in our first and fourth fiscal quarters. Consequently, our first fiscal quarter is a seasonally low period as our U.S. ski operations are generally not open for business until our second fiscal quarter combined with the fact that Perisher and our U.S. summer operating results are not sufficient to offset the losses incurred during the seasonally low periods at our U.S. mountain resorts and ski areas. Revenue of the Mountain segment during the first fiscal quarter is primarily generated from summer and group related visitation at our U.S. mountain resorts, retail/rental operations and peak season Perisher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including several proximate to our U.S. mountain resorts; (ii) ownership/management of non-RockResorts branded hotels and condominiums proximate to our U.S.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U.S. mountain resorts, and CME,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do not affect our Lodging Reported EBITDA, which we use to evaluate Lodging segment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activities of our Real Estate segment include the marketing and selling of remaining condominium units available for sale, which primarily relate to The Ritz-Carlton Residences, Vail, and One Ski Hill Place in Breckenridge; planning for future real estate development projects, including zoning and acquisition of applicable permits; and, the occasional purchase of selected strategic land parcels for future development, as well as the sale of land parcels to third-party developers.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snowfall can have an impact on Mountain and Lodging revenue particularly in regards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creates a guest commitment predominately prior to the start of the ski season. During fiscal year 2015, pass revenue represented approximately 40% of total lift revenue. Through December 5, 2015, our season pass sales for the 2015/2016 U.S. ski season have increased approximately 13% in units and increased approximately 19% in sales dollars, compared to the prior year period ended December 6, 2014, excluding season pass sales at Perisher for its 2016 ski season. We cannot predict the ultimate impact that season pass sales will have on total lift revenue or effective ticket price for the 2015/2016 U.S. ski season.</w:t>
      </w:r>
    </w:p>
    <w:p>
      <w:pPr>
        <w:spacing w:after="0" w:line="192" w:lineRule="exact"/>
        <w:rPr>
          <w:rFonts w:ascii="Arial" w:cs="Arial" w:eastAsia="Arial" w:hAnsi="Arial"/>
          <w:sz w:val="18"/>
          <w:szCs w:val="18"/>
          <w:color w:val="auto"/>
        </w:rPr>
      </w:pPr>
    </w:p>
    <w:p>
      <w:pPr>
        <w:jc w:val="both"/>
        <w:ind w:left="640" w:hanging="321"/>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many key economic indicators have improved including stronger consumer confidence and declines in the unemployment rate, the growth in the U.S. economy may be challenged by declining or slowing growth in economies outside of the U.S., accompanied by devaluation of currencies against the U.S. dollar and lower commodity prices. Given these economic trends and uncertainties, we cannot predict what the impact will be on overall travel and leisure spending or more specifically, on our guest visitation, guest spending or other related trends for the upcoming 2015/2016 U.S. ski season.</w:t>
      </w:r>
    </w:p>
    <w:p>
      <w:pPr>
        <w:spacing w:after="0" w:line="188" w:lineRule="exact"/>
        <w:rPr>
          <w:rFonts w:ascii="Arial" w:cs="Arial" w:eastAsia="Arial" w:hAnsi="Arial"/>
          <w:sz w:val="18"/>
          <w:szCs w:val="18"/>
          <w:color w:val="auto"/>
        </w:rPr>
      </w:pPr>
    </w:p>
    <w:p>
      <w:pPr>
        <w:jc w:val="both"/>
        <w:ind w:left="640" w:hanging="321"/>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30, 2015, we entered into a Purchase and Sale Agreement (the “Perisher Purchase Agreement”) with Murray Publishers Pty Ltd, Consolidated Press Holdings Pty Limited, Transfield Corporate Pty Limited and Transfield Pty Limited (collectively, “Perisher Sellers”) providing for the acquisition of the entities that operate Perisher in New South Wales, Australia. On June 30, 2015, we closed on the acquisition of Perisher, for total cash consideration of AU$176.2 million (approximately US$134.8 million), excluding cash acquired and assumed working capital. The cash purchase price was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left="321"/>
        <w:spacing w:after="0" w:line="306" w:lineRule="auto"/>
        <w:rPr>
          <w:sz w:val="20"/>
          <w:szCs w:val="20"/>
          <w:color w:val="auto"/>
        </w:rPr>
      </w:pPr>
      <w:r>
        <w:rPr>
          <w:rFonts w:ascii="Arial" w:cs="Arial" w:eastAsia="Arial" w:hAnsi="Arial"/>
          <w:sz w:val="18"/>
          <w:szCs w:val="18"/>
          <w:color w:val="auto"/>
        </w:rPr>
        <w:t>funded through borrowings from the revolving portion of our senior credit facility (“Credit Agreement”). We expect that Perisher will positively contribute to our results of operations with its peak operating season occurring during our first and fourth fiscal quarters. However, we cannot predict whether we will realize all of the synergies expected from the operations of Perisher and the ultimate impact Perisher will have on our future results of operations.</w:t>
      </w:r>
    </w:p>
    <w:p>
      <w:pPr>
        <w:spacing w:after="0" w:line="160" w:lineRule="exact"/>
        <w:rPr>
          <w:sz w:val="20"/>
          <w:szCs w:val="20"/>
          <w:color w:val="auto"/>
        </w:rPr>
      </w:pPr>
    </w:p>
    <w:p>
      <w:pPr>
        <w:jc w:val="both"/>
        <w:ind w:left="341"/>
        <w:spacing w:after="0" w:line="257" w:lineRule="auto"/>
        <w:rPr>
          <w:sz w:val="20"/>
          <w:szCs w:val="20"/>
          <w:color w:val="auto"/>
        </w:rPr>
      </w:pPr>
      <w:r>
        <w:rPr>
          <w:rFonts w:ascii="Arial" w:cs="Arial" w:eastAsia="Arial" w:hAnsi="Arial"/>
          <w:sz w:val="18"/>
          <w:szCs w:val="18"/>
          <w:color w:val="auto"/>
        </w:rPr>
        <w:t>The estimated fair values of assets acquired and liabilities assumed in the Perisher acquisition are preliminary and are based on the information that was available as of the acquisition date to estimate the fair value of assets acquired and liabilities assumed. We believe that information provides a reasonable basis for estimating the fair values of assets acquired and liabilities assumed, but we are obtaining additional information necessary to finalize those fair values. Therefore, the preliminary measurements of fair value reflected within the Consolidated Condensed Balance Sheets as of October 31, 2015 are subject to change.</w:t>
      </w:r>
    </w:p>
    <w:p>
      <w:pPr>
        <w:spacing w:after="0" w:line="188" w:lineRule="exact"/>
        <w:rPr>
          <w:sz w:val="20"/>
          <w:szCs w:val="20"/>
          <w:color w:val="auto"/>
        </w:rPr>
      </w:pPr>
    </w:p>
    <w:p>
      <w:pPr>
        <w:jc w:val="both"/>
        <w:ind w:left="321" w:hanging="321"/>
        <w:spacing w:after="0" w:line="289" w:lineRule="auto"/>
        <w:tabs>
          <w:tab w:leader="none" w:pos="3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October 31, 2015, we had $39.6 million in cash and cash equivalents, as well as $129.9 million available under the revolver component of our Credit Agreement (which represents the total commitment of $400.0 million less outstanding borrowings of $197.5 million and certain letters of credit outstanding of $72.6 million). The outstanding borrowings under the revolver component of our Credit Agreement are primarily a result of funding the cash purchase price for our acquisition of Perisher of approximately US$134.8 million, excluding cash acquired and assumed working capital. We believe that the terms of our Credit Agreement allow for sufficient flexibility in our ability to make future acquisitions, investments, distributions to stockholders and incur additional debt. This, combined with the continued positive cash flow from operating activities of our Mountain and Lodging segments, primarily occurring during our second and third fiscal quarters, less resort capital expenditures has and is anticipated to continue to provide us with substantial liquidity. We believe our liquidity will allow us to consider strategic investments and other forms of returning value to our stockholders including the continued payment of a quarterly cash dividend and additional share repurchases.</w:t>
      </w:r>
    </w:p>
    <w:p>
      <w:pPr>
        <w:spacing w:after="0" w:line="166" w:lineRule="exact"/>
        <w:rPr>
          <w:rFonts w:ascii="Arial" w:cs="Arial" w:eastAsia="Arial" w:hAnsi="Arial"/>
          <w:sz w:val="16"/>
          <w:szCs w:val="16"/>
          <w:color w:val="auto"/>
        </w:rPr>
      </w:pPr>
    </w:p>
    <w:p>
      <w:pPr>
        <w:jc w:val="both"/>
        <w:ind w:left="321" w:hanging="321"/>
        <w:spacing w:after="0" w:line="272" w:lineRule="auto"/>
        <w:tabs>
          <w:tab w:leader="none" w:pos="3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Real Estate Reported EBITDA is highly dependent on, among other things, the timing of closings on condominium units available for sale, which determines when revenue and associated cost of sales is recognized. Changes to the anticipated timing or mix of closing on one or more real estate projects, or unit closings within a real estate project, could materially impact Real Estate Reported EBITDA for a particular quarter or fiscal year. As of October 31, 2015, we had seven units at The Ritz-Carlton Residences, Vail and two units at One Ski Hill Place in Breckenridge available for sale with a remaining book value of approximately $21.4 million for both projects as of October 31, 2015. We cannot predict the ultimate number of units that we will sell, the ultimate price we will receive, or when the units will sell, although we currently anticipate the selling process will take less than two years to complete assuming continued stability in resort real estate markets.</w:t>
      </w:r>
    </w:p>
    <w:p>
      <w:pPr>
        <w:spacing w:after="0" w:line="177" w:lineRule="exact"/>
        <w:rPr>
          <w:rFonts w:ascii="Arial" w:cs="Arial" w:eastAsia="Arial" w:hAnsi="Arial"/>
          <w:sz w:val="17"/>
          <w:szCs w:val="17"/>
          <w:color w:val="auto"/>
        </w:rPr>
      </w:pPr>
    </w:p>
    <w:p>
      <w:pPr>
        <w:jc w:val="both"/>
        <w:ind w:left="321" w:hanging="321"/>
        <w:spacing w:after="0" w:line="287" w:lineRule="auto"/>
        <w:tabs>
          <w:tab w:leader="none" w:pos="3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GAAP, we test goodwill and indefinite-lived intangible assets for impairment annually as well as on an interim basis to the extent factors or indicators become apparent that could reduce the fair value of our reporting units or indefinite-lived intangible assets below book value. We also evaluate long-lived assets for potential impairment whenever events or changes in circumstances indicate that the carrying amount of an asset may not be recoverable. We evaluate the recoverability of our goodwill by estimating the future discounted cash flows of our reporting units and terminal values of the businesses using projected future levels of income, as well as business trends, prospects and market and economic conditions. We evaluate the recoverability of indefinite-lived intangible assets using the income approach based upon estimated future revenue streams, and we evaluate long-lived assets based upon estimated undiscounted future cash flows. Our fiscal 2015 annual impairment test did not result in a goodwill or indefinite-lived intangible asset impairment. However, if lower than projected levels of cash flows were to occur due to prolonged abnormal weather conditions or a prolonged weakness in general economic conditions, among other risks, it could cause less than expected growth and/or a reduction in terminal values and cash flows and could result in an impairment charge attributable to certain goodwill, indefinite-lived intangible assets and/or long-lived assets, negatively affecting our results of operations and stockholders’ equity.</w:t>
      </w: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1"/>
          </w:cols>
          <w:pgMar w:left="559" w:top="6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months ended October 31, 2015, compared to the three months ended October 31, 2014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3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r>
      <w:tr>
        <w:trPr>
          <w:trHeight w:val="276"/>
        </w:trPr>
        <w:tc>
          <w:tcPr>
            <w:tcW w:w="4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14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2,849</w:t>
            </w: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739</w:t>
            </w:r>
          </w:p>
        </w:tc>
      </w:tr>
      <w:tr>
        <w:trPr>
          <w:trHeight w:val="27"/>
        </w:trPr>
        <w:tc>
          <w:tcPr>
            <w:tcW w:w="4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Reported EBITDA</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14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7"/>
        </w:trPr>
        <w:tc>
          <w:tcPr>
            <w:tcW w:w="4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(102,101)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(59,587)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(64,276)</w:t>
            </w:r>
          </w:p>
        </w:tc>
      </w:tr>
      <w:tr>
        <w:trPr>
          <w:trHeight w:val="27"/>
        </w:trPr>
        <w:tc>
          <w:tcPr>
            <w:tcW w:w="4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5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 compared to the three months ended October 31, 2014</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October 31, 2015 and 2014 are presented by category as follows (in thousands, except effective ticket price (“ETP”)):</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1020" w:type="dxa"/>
            <w:vAlign w:val="bottom"/>
          </w:tcPr>
          <w:p>
            <w:pPr>
              <w:spacing w:after="0"/>
              <w:rPr>
                <w:sz w:val="14"/>
                <w:szCs w:val="14"/>
                <w:color w:val="auto"/>
              </w:rPr>
            </w:pPr>
          </w:p>
        </w:tc>
        <w:tc>
          <w:tcPr>
            <w:tcW w:w="162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2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spacing w:after="0"/>
              <w:rPr>
                <w:sz w:val="10"/>
                <w:szCs w:val="10"/>
                <w:color w:val="auto"/>
              </w:rPr>
            </w:pPr>
          </w:p>
        </w:tc>
        <w:tc>
          <w:tcPr>
            <w:tcW w:w="1620" w:type="dxa"/>
            <w:vAlign w:val="bottom"/>
          </w:tcPr>
          <w:p>
            <w:pPr>
              <w:jc w:val="center"/>
              <w:ind w:right="13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2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Lift</w:t>
            </w:r>
          </w:p>
        </w:tc>
        <w:tc>
          <w:tcPr>
            <w:tcW w:w="24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20,153</w:t>
            </w:r>
          </w:p>
        </w:tc>
        <w:tc>
          <w:tcPr>
            <w:tcW w:w="108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2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3,384</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Dining</w:t>
            </w:r>
          </w:p>
        </w:tc>
        <w:tc>
          <w:tcPr>
            <w:tcW w:w="24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12,355</w:t>
            </w:r>
          </w:p>
        </w:tc>
        <w:tc>
          <w:tcPr>
            <w:tcW w:w="10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8,039</w:t>
            </w:r>
          </w:p>
        </w:tc>
        <w:tc>
          <w:tcPr>
            <w:tcW w:w="1620" w:type="dxa"/>
            <w:vAlign w:val="bottom"/>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2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32,389</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29,473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32,652</w:t>
            </w:r>
          </w:p>
        </w:tc>
        <w:tc>
          <w:tcPr>
            <w:tcW w:w="10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22,874</w:t>
            </w:r>
          </w:p>
        </w:tc>
        <w:tc>
          <w:tcPr>
            <w:tcW w:w="1620" w:type="dxa"/>
            <w:vAlign w:val="bottom"/>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100,933</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60,386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8"/>
                <w:szCs w:val="18"/>
                <w:color w:val="auto"/>
              </w:rPr>
              <w:t>Mountain operating expense:</w:t>
            </w: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51,799</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43,005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24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16,479</w:t>
            </w:r>
          </w:p>
        </w:tc>
        <w:tc>
          <w:tcPr>
            <w:tcW w:w="10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16,790</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37,214</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32,016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45,666</w:t>
            </w:r>
          </w:p>
        </w:tc>
        <w:tc>
          <w:tcPr>
            <w:tcW w:w="10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40,141</w:t>
            </w:r>
          </w:p>
        </w:tc>
        <w:tc>
          <w:tcPr>
            <w:tcW w:w="162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151,158</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86"/>
              </w:rPr>
              <w:t>131,952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8"/>
                <w:szCs w:val="18"/>
                <w:color w:val="auto"/>
              </w:rPr>
              <w:t>Gain on litigation settlement</w:t>
            </w:r>
          </w:p>
        </w:tc>
        <w:tc>
          <w:tcPr>
            <w:tcW w:w="24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16,400</w:t>
            </w: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2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w:t>
            </w:r>
          </w:p>
        </w:tc>
        <w:tc>
          <w:tcPr>
            <w:tcW w:w="10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159.1 %</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248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(49,383)</w:t>
            </w:r>
          </w:p>
        </w:tc>
        <w:tc>
          <w:tcPr>
            <w:tcW w:w="10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2"/>
              </w:rPr>
              <w:t>(54,841)</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4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24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10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24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46.33</w:t>
            </w:r>
          </w:p>
        </w:tc>
        <w:tc>
          <w:tcPr>
            <w:tcW w:w="10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$3.4 million and $3.2 million of stock-based compensation expense for the three months ended October 31, 2015 and 2014,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first fiscal quarter historically results in negative Mountain Reported EBITDA, as our U.S. mountain resorts and ski areas generally do not open for ski operations until our second fiscal quarter. Additionally, the first fiscal quarter generally has consisted of operating and administrative expenses, summer activities (including dining) and retail/rental operations. However, with our acquisition of Perisher (acquired June 30, 2015) which has its peak operating season from June through early October, Mountain Reported EBITDA for the three months ended October 31, 2015 improved $5.5 million, or 10.0%, compared to the same period in the prior year. Additionally, Mountain Reported EBITDA for the three months ended October 31, 2015 compared to the same period in the prior year was favorably impacted by increased summer activities and transaction, integration and litigation expenses incurred in the same period in the prior year related to Park City. These favorable impacts were largely offset by the $16.4 million non-cash gain on Park City litigation settlement recognized during the three months ended October 31, 2014 and by recording a full non-peak fiscal quarter of operating results for Park City compared to the same period in the prior year due to the acquisition of Park City Mountain Resort in September 2014.</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October 31, 2015, we generated $20.2 million and $3.4 million of lift revenue and ski school revenue, respectively, from Perisher's ski season operations, which comprises the majority of Perisher's revenue for the fiscal quarter. Dining revenue increased $4.3 million, or 53.7%, for the three months ended October 31, 2015 compared to the three months ended October 31, 2014, primarily resulting from incremental dining revenue from Perisher and increased visitation to our U.S resort dining outlets.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Retail/rental revenue increased $2.9 million, or 9.9%, for the three months ended October 31, 2015 compared to the same period in the prior year, which was primarily attributable to incremental Perisher retail/rental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three months ended October 31, 2015, other revenue increased $9.8 million, or 42.7%, compared to the same period in the prior year, primarily attributable to incremental revenue from Perisher, our first full fiscal quarter of Park City's summer activities, and an increase in summer activities revenue from improved summer visitation at both our Colorado and Tahoe mountain resorts.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expense increased $19.2 million, or 14.6%, for the three months ended October 31, 2015 compared to the three months ended October 31, 2014, primarily due to incremental expenses of $15.5 million from Perisher. Operating expense in the prior year included $3.1 million of Park City litigation, integration and transaction costs. Excluding these expenses, operating expense increased $6.8 million, or 5.3%, for the three months ended October 31, 2015 compared to the same period in the prior year. Labor and labor-related benefits (excluding Perisher) increased $1.8 million, or 4.1%, primarily due to incremental labor from Park City having a full fiscal quarter of operations during the current fiscal quarter and normal wage adjustments. Retail cost of sales decreased $0.3 million, or 1.9%, compared to an increase in retail sales of $0.7 million, primarily as a result of improvement in the gross profit margin percentage at our retail outlets. General and Administrative expenses (excluding Perisher) increased $3.5 million, or 10.9%, primarily due to a higher Mountain segment component of corporate costs including increased sales and marketing expense, increased information and technology expense, and increased human resources expense. Other expense (excluding Perisher in the current year period and Park City litigation, integration and transaction costs from the prior year) increased $2.3 million, or 6.2%, primarily due to higher repairs and maintenance expense, supplies expense, professional services expense and food and beverage cost of sales commensurate with increased dining revenue and incremental Park City expenses due to a full fiscal quarter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 The increase in equity investment income for the three months ended October 31, 2015 is primarily due to increased commissions earned by the brokerage due to a higher level of real estate closures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 compared to the three months ended October 31, 2014</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2015 and 2014 are presented by category as follows (in thousands, except average daily rates (“ADR”) and revenue per available room (“RevPAR”)):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 October 31,</w:t>
            </w:r>
          </w:p>
        </w:tc>
        <w:tc>
          <w:tcPr>
            <w:tcW w:w="162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0"/>
                <w:szCs w:val="10"/>
                <w:color w:val="auto"/>
              </w:rPr>
            </w:pPr>
          </w:p>
        </w:tc>
        <w:tc>
          <w:tcPr>
            <w:tcW w:w="1480" w:type="dxa"/>
            <w:vAlign w:val="bottom"/>
            <w:vMerge w:val="restart"/>
          </w:tcPr>
          <w:p>
            <w:pPr>
              <w:jc w:val="right"/>
              <w:ind w:right="831"/>
              <w:spacing w:after="0"/>
              <w:rPr>
                <w:sz w:val="20"/>
                <w:szCs w:val="20"/>
                <w:color w:val="auto"/>
              </w:rPr>
            </w:pPr>
            <w:r>
              <w:rPr>
                <w:rFonts w:ascii="Arial" w:cs="Arial" w:eastAsia="Arial" w:hAnsi="Arial"/>
                <w:sz w:val="14"/>
                <w:szCs w:val="14"/>
                <w:b w:val="1"/>
                <w:bCs w:val="1"/>
                <w:color w:val="auto"/>
              </w:rPr>
              <w:t>2014</w:t>
            </w:r>
          </w:p>
        </w:tc>
        <w:tc>
          <w:tcPr>
            <w:tcW w:w="1620" w:type="dxa"/>
            <w:vAlign w:val="bottom"/>
          </w:tcPr>
          <w:p>
            <w:pPr>
              <w:jc w:val="center"/>
              <w:ind w:right="72"/>
              <w:spacing w:after="0" w:line="126"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17,306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14,918</w:t>
            </w: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8,247</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8,111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Dining</w:t>
            </w:r>
          </w:p>
        </w:tc>
        <w:tc>
          <w:tcPr>
            <w:tcW w:w="1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15,041</w:t>
            </w:r>
          </w:p>
        </w:tc>
        <w:tc>
          <w:tcPr>
            <w:tcW w:w="480" w:type="dxa"/>
            <w:vAlign w:val="bottom"/>
          </w:tcPr>
          <w:p>
            <w:pPr>
              <w:spacing w:after="0"/>
              <w:rPr>
                <w:sz w:val="21"/>
                <w:szCs w:val="21"/>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13,538</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2,320</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2,317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Golf</w:t>
            </w:r>
          </w:p>
        </w:tc>
        <w:tc>
          <w:tcPr>
            <w:tcW w:w="1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8,247</w:t>
            </w:r>
          </w:p>
        </w:tc>
        <w:tc>
          <w:tcPr>
            <w:tcW w:w="480" w:type="dxa"/>
            <w:vAlign w:val="bottom"/>
          </w:tcPr>
          <w:p>
            <w:pPr>
              <w:spacing w:after="0"/>
              <w:rPr>
                <w:sz w:val="21"/>
                <w:szCs w:val="21"/>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7,549</w:t>
            </w:r>
          </w:p>
        </w:tc>
        <w:tc>
          <w:tcPr>
            <w:tcW w:w="16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9,818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61,586</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56,251</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1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2,242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64,286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58,493</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7"/>
        </w:trPr>
        <w:tc>
          <w:tcPr>
            <w:tcW w:w="54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1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28,695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27,375</w:t>
            </w: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7,969</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7,517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22,073</w:t>
            </w:r>
          </w:p>
        </w:tc>
        <w:tc>
          <w:tcPr>
            <w:tcW w:w="480" w:type="dxa"/>
            <w:vAlign w:val="bottom"/>
          </w:tcPr>
          <w:p>
            <w:pPr>
              <w:spacing w:after="0"/>
              <w:rPr>
                <w:sz w:val="21"/>
                <w:szCs w:val="21"/>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20,620</w:t>
            </w: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58,737</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55,512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1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480" w:type="dxa"/>
            <w:vAlign w:val="bottom"/>
          </w:tcPr>
          <w:p>
            <w:pPr>
              <w:spacing w:after="0"/>
              <w:rPr>
                <w:sz w:val="21"/>
                <w:szCs w:val="21"/>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2,242</w:t>
            </w:r>
          </w:p>
        </w:tc>
        <w:tc>
          <w:tcPr>
            <w:tcW w:w="16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57,754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2,849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739</w:t>
            </w:r>
          </w:p>
        </w:tc>
        <w:tc>
          <w:tcPr>
            <w:tcW w:w="1620" w:type="dxa"/>
            <w:vAlign w:val="bottom"/>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67"/>
        </w:trPr>
        <w:tc>
          <w:tcPr>
            <w:tcW w:w="54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189.50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133.14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118.37</w:t>
            </w:r>
          </w:p>
        </w:tc>
        <w:tc>
          <w:tcPr>
            <w:tcW w:w="16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1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177.76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176.22</w:t>
            </w:r>
          </w:p>
        </w:tc>
        <w:tc>
          <w:tcPr>
            <w:tcW w:w="16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41.44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183.76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74.20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1"/>
              <w:spacing w:after="0"/>
              <w:rPr>
                <w:sz w:val="20"/>
                <w:szCs w:val="20"/>
                <w:color w:val="auto"/>
              </w:rPr>
            </w:pPr>
            <w:r>
              <w:rPr>
                <w:rFonts w:ascii="Arial" w:cs="Arial" w:eastAsia="Arial" w:hAnsi="Arial"/>
                <w:sz w:val="18"/>
                <w:szCs w:val="18"/>
                <w:color w:val="auto"/>
              </w:rPr>
              <w:t>66.91</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Lodging segment ADR and RevPAR statistics presented above for the three months ended October 31, 2014 have been adjusted to exclude resort fee revenue from the calculations for ADR and RevPAR, as stipulated by the </w:t>
      </w:r>
      <w:r>
        <w:rPr>
          <w:rFonts w:ascii="Arial" w:cs="Arial" w:eastAsia="Arial" w:hAnsi="Arial"/>
          <w:sz w:val="16"/>
          <w:szCs w:val="16"/>
          <w:i w:val="1"/>
          <w:iCs w:val="1"/>
          <w:color w:val="auto"/>
        </w:rPr>
        <w:t>Uniform System of Accounts for the Lodging Industry, Eleventh Revised Edition.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$0.7 million and $0.6 million of stock-based compensation expense for the three months ended October 31, 2015 and 2014, respectively.</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Total Lodging net revenue (excluding payroll cost reimbursements) for the three months ended October 31, 2015 increased $5.3 million, or 9.5%, as compared to the three months ended October 31, 2014. This increase was primarily attributable to an increase in transient business from improved summer visitation at GTLC and our Colorado mountain resort properties. Additionally, our Colorado resort properties experienced an improvement in group business.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owned hotel rooms increased $2.4 million, or 16.0%, for the three months ended October 31, 2015 compared to the three months ended October 31, 2014. Owned room revenue was positively impacted by an increase of $1.7 million at GTLC resulting from an increase in transient guest visitation and ADR. Additionally, owned revenue at our Colorado lodging properties increased $0.7 million, resulting from an increase in transient guest and group visitation attributable to improved summer visitation</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4" w:right="239" w:bottom="1440" w:gutter="0" w:footer="0" w:header="0"/>
          <w:type w:val="continuous"/>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at our Colorado mountain resorts. Revenue from managed condominium rooms increased $0.1 million, or 1.7%, for the three months ended October 31, 2015 compared to the three months ended October 31, 2014, primarily as a result of increased group business.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Dining revenue for the three months ended October 31, 2015 increased $1.5 million, or 11.1%, as compared to the three months ended October 31, 2014, primarily due to increased dining revenue generated at GTLC and our Colorado lodging properties as a result of increased summer visitation. Golf revenue for the three months ended October 31, 2015 increased $0.7 million, or 9.2%, as compared to the three months ended October 31, 2014 primarily due to incremental revenue from reimbursable expenses for managing the Canyons golf course beginning in the summer of 2015. Other revenue increased $0.6 million, or 6.2%, compared to the same period in the prior year primarily due to an increase in ancillary revenue from improved visitation at GTLC.</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 (excluding reimbursed payroll costs) increased $3.2 million, or 5.8%, for the three months ended October 31, 2015 compared to the three months ended October 31, 2014. Labor and labor-related benefits increased $1.3 million, or 4.8%, resulting from normal wage increases and higher staffing levels associated with increased overall occupancy. General and administrative expense increased $0.5 million, or 6.0%, due to higher allocated corporate costs, including increased marketing and sales expenses, increased information technology expense, and increased expenses from our central reservations booking services. Other expense increased $1.5 million, or 7.0%, primarily due to higher operating expenses (such as food and beverage cost of sales, repairs and maintenance, credit card fees, and linen expenses) and higher advertising expenses.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 compared to the three months ended October 31, 2014</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2015 and 2014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380" w:type="dxa"/>
            <w:vAlign w:val="bottom"/>
          </w:tcPr>
          <w:p>
            <w:pPr>
              <w:spacing w:after="0"/>
              <w:rPr>
                <w:sz w:val="14"/>
                <w:szCs w:val="14"/>
                <w:color w:val="auto"/>
              </w:rPr>
            </w:pPr>
          </w:p>
        </w:tc>
        <w:tc>
          <w:tcPr>
            <w:tcW w:w="16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0" w:type="dxa"/>
            <w:vAlign w:val="bottom"/>
            <w:gridSpan w:val="2"/>
          </w:tcPr>
          <w:p>
            <w:pPr>
              <w:jc w:val="right"/>
              <w:ind w:right="230"/>
              <w:spacing w:after="0" w:line="145" w:lineRule="exact"/>
              <w:rPr>
                <w:sz w:val="20"/>
                <w:szCs w:val="20"/>
                <w:color w:val="auto"/>
              </w:rPr>
            </w:pPr>
            <w:r>
              <w:rPr>
                <w:rFonts w:ascii="Arial" w:cs="Arial" w:eastAsia="Arial" w:hAnsi="Arial"/>
                <w:sz w:val="14"/>
                <w:szCs w:val="14"/>
                <w:b w:val="1"/>
                <w:bCs w:val="1"/>
                <w:color w:val="auto"/>
              </w:rPr>
              <w:t>October 31,</w:t>
            </w:r>
          </w:p>
        </w:tc>
        <w:tc>
          <w:tcPr>
            <w:tcW w:w="13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2014</w:t>
            </w:r>
          </w:p>
        </w:tc>
        <w:tc>
          <w:tcPr>
            <w:tcW w:w="162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9,348</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9,383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2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(including sales commission)</w:t>
            </w:r>
          </w:p>
        </w:tc>
        <w:tc>
          <w:tcPr>
            <w:tcW w:w="2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7,767</w:t>
            </w:r>
          </w:p>
        </w:tc>
        <w:tc>
          <w:tcPr>
            <w:tcW w:w="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7,753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1,574</w:t>
            </w:r>
          </w:p>
        </w:tc>
        <w:tc>
          <w:tcPr>
            <w:tcW w:w="740" w:type="dxa"/>
            <w:vAlign w:val="bottom"/>
          </w:tcPr>
          <w:p>
            <w:pPr>
              <w:spacing w:after="0"/>
              <w:rPr>
                <w:sz w:val="21"/>
                <w:szCs w:val="21"/>
                <w:color w:val="auto"/>
              </w:rPr>
            </w:pPr>
          </w:p>
        </w:tc>
        <w:tc>
          <w:tcPr>
            <w:tcW w:w="1380" w:type="dxa"/>
            <w:vAlign w:val="bottom"/>
          </w:tcPr>
          <w:p>
            <w:pPr>
              <w:jc w:val="right"/>
              <w:ind w:right="353"/>
              <w:spacing w:after="0"/>
              <w:rPr>
                <w:sz w:val="20"/>
                <w:szCs w:val="20"/>
                <w:color w:val="auto"/>
              </w:rPr>
            </w:pPr>
            <w:r>
              <w:rPr>
                <w:rFonts w:ascii="Arial" w:cs="Arial" w:eastAsia="Arial" w:hAnsi="Arial"/>
                <w:sz w:val="18"/>
                <w:szCs w:val="18"/>
                <w:color w:val="auto"/>
              </w:rPr>
              <w:t>3,861</w:t>
            </w:r>
          </w:p>
        </w:tc>
        <w:tc>
          <w:tcPr>
            <w:tcW w:w="16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2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9,341</w:t>
            </w:r>
          </w:p>
        </w:tc>
        <w:tc>
          <w:tcPr>
            <w:tcW w:w="7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11,614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2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1,159</w:t>
            </w:r>
          </w:p>
        </w:tc>
        <w:tc>
          <w:tcPr>
            <w:tcW w:w="7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1,166</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(2,231)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152.3 %</w:t>
            </w:r>
          </w:p>
        </w:tc>
        <w:tc>
          <w:tcPr>
            <w:tcW w:w="0" w:type="dxa"/>
            <w:vAlign w:val="bottom"/>
          </w:tcPr>
          <w:p>
            <w:pPr>
              <w:spacing w:after="0"/>
              <w:rPr>
                <w:sz w:val="1"/>
                <w:szCs w:val="1"/>
                <w:color w:val="auto"/>
              </w:rPr>
            </w:pP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includes zero and $0.4 million of stock-based compensation expense for the three months ended October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segment net revenue for the three months ended October 31, 2015 was primarily driven by the closing of two condominium units at The Ritz-Carlton Residences, Vail ($5.9 million of revenue with an average selling price of $2.9 million and an average price per square foot of $1,616) and two condominium units at One Ski Hill Place ($2.5 million of revenue with an average selling price of $1.2 million and an average price per square foot of $1,129). The average price per square foot for both projects is driven by their premier locations and the comprehensive and exclusive amenities related to these projects. Additionally, we recorded a gain on sale of real property of $1.2 million (net of $1.7 million in related cost of sales) for a land parcel which sold for $2.9 million.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for the three months ended October 31, 2015 included cost of sales of $6.4 million resulting from the closing of two condominium units at The Ritz-Carlton Residences, Vail (average cost per square foot of $1,207) and two condominium units at One Ski Hill Place (average cost per square foot of $931). The cost per square foot for The Ritz-Carlton Residences, Vail and One Ski Hill Place projects is reflective of the high-end features and amenities and high construction costs associated with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mountain resort development. Additionally, sales commissions of approximately $0.7 million were incurred commensurate with revenue recognized. Other operating expense of $1.6 million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2014</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Real Estate segment net revenue for the three months ended October 31, 2014 was driven by the closing of two condominium units at The Ritz-Carlton Residences, Vail ($6.3 million of revenue with an average selling price of $3.1 million and an average price per square foot of $1,566) and two condominium units at One Ski Hill Place ($2.6 million of revenue with an average selling price of $1.3 million and an average price per square foot of $1,090).</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 for the three months ended October 31, 2014 included cost of sales of $7.0 million resulting from the closing of two condominium units at The Ritz-Carlton Residences, Vail (average cost per square foot of $1,228) and two condominium units at One Ski Hill Place (average cost per square foot of $868). Additionally, sales commissions of approximately $0.5 million were incurred commensurate with revenue recognized. Other operating expense of $3.9 million (including $0.4 million of stock-based compensation expense)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contributed to our overall financial position.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October 31, 2015 increased $2.7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assets acquired in the Perisher and Park City Mountain Resort acquisitions.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Change in fair value of contingent consideration. </w:t>
      </w:r>
      <w:r>
        <w:rPr>
          <w:rFonts w:ascii="Arial" w:cs="Arial" w:eastAsia="Arial" w:hAnsi="Arial"/>
          <w:sz w:val="17"/>
          <w:szCs w:val="17"/>
          <w:color w:val="auto"/>
        </w:rPr>
        <w:t>There was no change in fair value of contingent consideration recorded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31, 2015. A gain of $4.5 million was recorded during the three months ended October 31, 2014 related to a decrease in the estimated fair value of the participating contingent payments to Talisker under the lease for Canyons. Commensurate with the acquisition of Park City Mountain Resort, the fair value of contingent consideration includes the resort operations of Park City Mountain Resort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or the combined resort. The estimated fair value of the contingent consideration is $6.9 million as of October 31, 2015.</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October 31, 2015 decreased $3.0 million compared to the same period in the prior year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redemption of the remaining $215.0 million of our 6.50% Notes outstanding in May 2015 and the redemption of the entire $41.2 million of our Industrial Development Bonds outstanding in May 2015, partially offset by interest expense on the borrowings incurred under the $250.0 million term loan facility, bearing interest at 1.44% at October 31, 2015, used to fund the redemption of the 6.50% Notes and Industrial Development Bonds in May 2015.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benefit for the three months ended October 31, 2015 was 38.0%, compared to 37.0% for the three months ended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2014. The interim period effective tax rate is primarily driven by anticipated pre-tax book income for the full fiscal year adjusted for items that are deductible/non-deductible for tax purposes only (i.e., permanent items).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Reconciliation of Non-GAAP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loss attributable to Vail Resorts, Inc.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1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6"/>
        </w:trPr>
        <w:tc>
          <w:tcPr>
            <w:tcW w:w="196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(54,841)</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1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2,849</w:t>
            </w: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739</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(46,534)</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1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(2,231)</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(45,368)</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(38,700)</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(35,969)</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4,550</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(loss), net</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(10,595)</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(13,568)</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(102,101)</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Arial" w:cs="Arial" w:eastAsia="Arial" w:hAnsi="Arial"/>
                <w:sz w:val="18"/>
                <w:szCs w:val="18"/>
                <w:color w:val="auto"/>
              </w:rPr>
              <w:t>Benefit from income taxes</w:t>
            </w:r>
          </w:p>
        </w:tc>
        <w:tc>
          <w:tcPr>
            <w:tcW w:w="1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36,574</w:t>
            </w: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37,777</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9"/>
        </w:trPr>
        <w:tc>
          <w:tcPr>
            <w:tcW w:w="196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(59,670)</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(64,324)</w:t>
            </w: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7"/>
        </w:trPr>
        <w:tc>
          <w:tcPr>
            <w:tcW w:w="1960" w:type="dxa"/>
            <w:vAlign w:val="bottom"/>
          </w:tcPr>
          <w:p>
            <w:pPr>
              <w:spacing w:after="0"/>
              <w:rPr>
                <w:sz w:val="20"/>
                <w:szCs w:val="20"/>
                <w:color w:val="auto"/>
              </w:rPr>
            </w:pPr>
          </w:p>
        </w:tc>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1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9"/>
        </w:trPr>
        <w:tc>
          <w:tcPr>
            <w:tcW w:w="196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(59,587)</w:t>
            </w:r>
          </w:p>
        </w:tc>
        <w:tc>
          <w:tcPr>
            <w:tcW w:w="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(64,276)</w:t>
            </w: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
        </w:trPr>
        <w:tc>
          <w:tcPr>
            <w:tcW w:w="1960" w:type="dxa"/>
            <w:vAlign w:val="bottom"/>
          </w:tcPr>
          <w:p>
            <w:pPr>
              <w:spacing w:after="0" w:line="20" w:lineRule="exact"/>
              <w:rPr>
                <w:sz w:val="1"/>
                <w:szCs w:val="1"/>
                <w:color w:val="auto"/>
              </w:rPr>
            </w:pPr>
          </w:p>
        </w:tc>
        <w:tc>
          <w:tcPr>
            <w:tcW w:w="4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59"/>
        </w:trPr>
        <w:tc>
          <w:tcPr>
            <w:tcW w:w="6380" w:type="dxa"/>
            <w:vAlign w:val="bottom"/>
            <w:gridSpan w:val="2"/>
          </w:tcPr>
          <w:p>
            <w:pPr>
              <w:spacing w:after="0"/>
              <w:rPr>
                <w:sz w:val="20"/>
                <w:szCs w:val="20"/>
                <w:color w:val="auto"/>
              </w:rPr>
            </w:pPr>
            <w:r>
              <w:rPr>
                <w:rFonts w:ascii="Arial" w:cs="Arial" w:eastAsia="Arial" w:hAnsi="Arial"/>
                <w:sz w:val="18"/>
                <w:szCs w:val="18"/>
                <w:color w:val="auto"/>
              </w:rPr>
              <w:t>The following table reconciles Net Debt to long-term debt (in thousands):</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9"/>
        </w:trPr>
        <w:tc>
          <w:tcPr>
            <w:tcW w:w="19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October 31,</w:t>
            </w:r>
          </w:p>
        </w:tc>
        <w:tc>
          <w:tcPr>
            <w:tcW w:w="1280" w:type="dxa"/>
            <w:vAlign w:val="bottom"/>
          </w:tcPr>
          <w:p>
            <w:pPr>
              <w:spacing w:after="0"/>
              <w:rPr>
                <w:sz w:val="24"/>
                <w:szCs w:val="24"/>
                <w:color w:val="auto"/>
              </w:rPr>
            </w:pPr>
          </w:p>
        </w:tc>
      </w:tr>
      <w:tr>
        <w:trPr>
          <w:trHeight w:val="276"/>
        </w:trPr>
        <w:tc>
          <w:tcPr>
            <w:tcW w:w="19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50"/>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817,058</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819,238</w:t>
            </w:r>
          </w:p>
        </w:tc>
      </w:tr>
      <w:tr>
        <w:trPr>
          <w:trHeight w:val="243"/>
        </w:trPr>
        <w:tc>
          <w:tcPr>
            <w:tcW w:w="6380" w:type="dxa"/>
            <w:vAlign w:val="bottom"/>
            <w:gridSpan w:val="2"/>
          </w:tcPr>
          <w:p>
            <w:pPr>
              <w:ind w:left="40"/>
              <w:spacing w:after="0"/>
              <w:rPr>
                <w:sz w:val="20"/>
                <w:szCs w:val="20"/>
                <w:color w:val="auto"/>
              </w:rPr>
            </w:pPr>
            <w:r>
              <w:rPr>
                <w:rFonts w:ascii="Arial" w:cs="Arial" w:eastAsia="Arial" w:hAnsi="Arial"/>
                <w:sz w:val="18"/>
                <w:szCs w:val="18"/>
                <w:color w:val="auto"/>
              </w:rPr>
              <w:t>Long-term debt due within one year</w:t>
            </w: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13,319</w:t>
            </w:r>
          </w:p>
        </w:tc>
        <w:tc>
          <w:tcPr>
            <w:tcW w:w="6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1,022</w:t>
            </w:r>
          </w:p>
        </w:tc>
      </w:tr>
      <w:tr>
        <w:trPr>
          <w:trHeight w:val="27"/>
        </w:trPr>
        <w:tc>
          <w:tcPr>
            <w:tcW w:w="6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830,377</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820,260</w:t>
            </w:r>
          </w:p>
        </w:tc>
      </w:tr>
      <w:tr>
        <w:trPr>
          <w:trHeight w:val="243"/>
        </w:trPr>
        <w:tc>
          <w:tcPr>
            <w:tcW w:w="6380" w:type="dxa"/>
            <w:vAlign w:val="bottom"/>
            <w:gridSpan w:val="2"/>
          </w:tcPr>
          <w:p>
            <w:pPr>
              <w:ind w:left="40"/>
              <w:spacing w:after="0"/>
              <w:rPr>
                <w:sz w:val="20"/>
                <w:szCs w:val="20"/>
                <w:color w:val="auto"/>
              </w:rPr>
            </w:pPr>
            <w:r>
              <w:rPr>
                <w:rFonts w:ascii="Arial" w:cs="Arial" w:eastAsia="Arial" w:hAnsi="Arial"/>
                <w:sz w:val="18"/>
                <w:szCs w:val="18"/>
                <w:color w:val="auto"/>
              </w:rPr>
              <w:t>Less: cash and cash equivalents</w:t>
            </w: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39,606</w:t>
            </w:r>
          </w:p>
        </w:tc>
        <w:tc>
          <w:tcPr>
            <w:tcW w:w="6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29,840</w:t>
            </w:r>
          </w:p>
        </w:tc>
      </w:tr>
      <w:tr>
        <w:trPr>
          <w:trHeight w:val="27"/>
        </w:trPr>
        <w:tc>
          <w:tcPr>
            <w:tcW w:w="6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1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790,771</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790,420</w:t>
            </w: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4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seasonally low cash and cash equivalents on hand in the first fiscal quarter given that the first and the prior year’s fourth fiscal quarters have limited U.S. Mountain segment operations. Additionally, cash provided by or used in operating activities can be significantly impacted by the timing or mix of closings on remaining inventory of real estate available for sale.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$39.6 million of cash and cash equivalents as of October 31, 2015, compared to $29.8 million as of October 31, 2014. We currently anticipate that our Mountain and Lodging segment operating results will continue to provide a significant source of future operating cash flows (primarily those generated in our second and third fiscal quarters) combined with proceeds from the sale of remaining inventory of real estate available for sale from the completed Ritz-Carlton Residences, Vail and One Ski Hill Place at Breckenridge projects, and occasional land sales.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October 31, 2015, we also had available $129.9 million under the Credit Agreement (which represents the total commitment of $400.0 million less outstanding borrowings of $197.5 million and certain letters of credit outstanding of $72.6 million). We expect that our liquidity needs in the near term will be met by continued use of operating cash flows, borrowings under the Credit Agreement, if needed, and proceeds from future real estate closings. We believe the Credit Agreement, which matures in 2020, provides adequate flexibility and is priced favorably with any new borrowings currently priced at LIBOR plus 1.25%.</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October 31, 2015 compared to the three months ended October 31, 2014</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generated $74.6 million of cash from operating activities during the three months ended October 31, 2015, an increase of $50.1 million compared to $24.5 million of cash generated during the three months ended October 31, 2014. The increase in operating cash flows was primarily a result of improved Mountain (including the addition of Perisher) and Lodging segment operating results for the three months ended October 31, 2015 compared to the three months ended October 31, 2014, excluding the non-cash gain on litigation settlement of $16.4 million recorded in the prior period; an increase in season pass accounts receivable collections combined with increased season pass sales during the three months ended October 31, 2015 compared to the three months ended October 31, 2014; and a $10.0 million Park City litigation payment to Talisker during the three months ended October 31, 2014.</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three months ended October 31, 2015 decreased by $187.6 million compared to the three months ended October 31, 2014, primarily due to the acquisition of Park City Mountain Resort for $182.5 million during the three months ended October 31, 2014; a decrease in resort capital expenditures of $2.7 million during the three months ended October 31, 2015 compared to the three months ended October 31, 2014; and an increase in cash received from the sale of real property in the current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increased $218.2 million during the three months ended October 31, 2015, compared to the three months ended October 31, 2014, due to a decrease in net borrowings under the revolver portion of our credit facility (primarily related to the acquisition of Park City Mountain Resort during the three months ended October 31, 2014); repurchases of our common stock of $40.0 million and an increase in dividends paid of $7.6 million during the three months ended October 31, 2015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cash uses include providing for working capital needs and capital expenditures for assets to be used in resort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$110 million to $115 million of resort capital expenditures for calendar year 2015, which excludes any capital expenditures for new summer activities. This capital plan includes approximately $50 million of capital expenditures for Park City including the installation of an eight-passenger gondola connecting Park City Mountain Resort and Canyons creating the largest ski resort by acreage in the United States, installing a new six-passenger high-speed chairlift and upgrading a fixed-grip triple chairlift to a four-passenger high-speed detachable chairlift, significantly expanding restaurant capacity with a new restaurant and renovations of existing on-mountain facilities and an expanded maintenance capital plan. Excluding investments in summer activities and the one-time $50 million investment in Park City, we expect to invest approximately $60 million to $65 million in ongoing maintenance capital expenditures and discretionary capital expenditures that include, among other projects, upgrading Vail Mountain’s Avanti Chair (Chair 2) to a six-passenger high-speed chairlift, expanding the "refreshing" snowmaking system at Beaver Creek, adding new snowmaking on Peak 6 terrain at Breckenridge, renovating rooms at the Keystone Lodge, and investing in technology and marketing systems. In addition, we expect to spend approximately $15 million on new summer activities related to our Epic Discovery program at Vail, Breckenridge and Heavenly. Approximately $83 million was spent for capital expenditures in calendar year 2015 as of October 31, 2015, leaving approximately $42 million to $47 million to spend in the remainder of calendar year 2015.</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calendar year 2016, we expect to incur resort capital expenditures of approximately $100 million, which excludes any capital expenditures for new summer activities. We currently plan to utilize cash on hand, borrowings available under our Credit Agreement and/or cash flow generated from future operations to provide the cash necessary to complete our capital plans.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on the vast majority of our long-term debt ($780.4 million of the total $830.4 million debt outstanding as of October 31, 2015) are not due until fiscal 2020 and beyond. As of October 31, 2015 and 2014, total long-term debt (including long-term debt due within one year) was $830.4 million and $820.3 million, respectively.</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debt service requirements can be impacted by changing interest rates as we had $500.1 million of variable-rate debt outstanding as of October 31, 2015. A 100-basis point change in LIBOR would cause our annual interest payments to change by approximately $5.0 million. Additionally, the annual payments associated with the financing of the Canyons transaction increase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by the greater of CPI less 1%, or 2%. The fluctuation in our debt service requirements, in addition to interest rate and inflation changes, may be impacted by future borrowings under our Credit Agreement or other alternative financing arrangements we may enter into. Our long term liquidity needs depend upon operating results that impact the borrowing capacity under the Credit Agreement, which can be mitigated by adjustments to capital expenditures, flexibility of investment activities and the ability to obtain favorable future financing. We can respond to liquidity impacts of changes in the business and economic environment by managing our capital expenditures.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Our Board of Directors initially authorized the repurchase of up to 3,000,000 shares of common stock (March 9, 2006) and later authorized additional repurchases of up to 3,000,000 additional shares (July 16, 2008). During the three months ended October 31, 2015, we repurchased 377,830 shares of common stock at a cost of $40.0 million. Since inception of this stock repurchase program through October 31, 2015, we have repurchased 5,326,941 shares at a cost of approximately $233.2 million. As of October 31, 2015, 673,059 shares remained available to repurchase under the existing repurchase authorization. On December 4, 2015, our Board of Directors approved an increase in the number of shares authorized to be repurchased under the share repurchase program by an additional 1,500,000 shares. As a result, 2,173,059 shares are available to repurchase under the share repurchase program. Shares of common stock purchased pursuant to the repurchase program will be held as treasury shares and may be used for the issuance of shares under the Company’s share award plan. Repurchases under these authorizations may be made from time to time at prevailing prices as permitted by applicable laws, and subject to market conditions and other factors. The timing as well as the number of shares that may be repurchased under the program will depend on several factors, including our future financial performance, our available cash resources and competing uses for cash that may arise in the future, the restrictions in our Credit Agreement, prevailing prices of our common stock and the number of shares that become available for sale at prices that we believe are attractive. These authorizations have no expiration date.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of $0.15 per share, subject to quarterly declaration. Since the initial commencement of a regular quarterly cash dividend, our Board of Directors has annually approved an increase to our cash dividend on our common stock and on March 11, 2015, our Board of Directors approved a 50% increase to our quarterly cash dividend to $0.6225 per share (or approximately $22.6 million per quarter based upon shares outstanding as of October 31, 2015). During the three months ended October 31, 2015, the Company paid a cash dividend of $0.6225 per share or $22.7 million in the aggregate. This dividend was funded through available cash on hand and borrowing under the revolving portion of our credit facility.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Credit Agreement, future prospects for earnings and cash flows, as well as other factors considered relevant by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abide by certain restrictive financial covenants under our Credit Agreement. The most restrictive of those covenants include the following covenants: Net Funded Debt to Adjusted EBITDA ratio and the Interest Coverage ratio (each as defined in the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Credit Agreement is primarily determined by the Net Funded Debt to Adjusted EBITDA ratio, which is based on our segment operating performance, as defined in the Credit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October 31, 2015. We expect that we will meet all applicable financial maintenance covenants in our Credit Agreement, including the Net Funded Debt to Adjusted EBITDA ratio, throughout the year ending July 31, 2016. However, there can be no assurance we will meet such financial covenants. If such covenants are not met, we would be required to seek a waiver or amendment from the banks participating in the Credit Agreement. There can be no assurance that such waiver or amendment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in this Form 10-Q contain certain forward-looking statements within the meaning of the Private Securities Litigation Reform Act of 1995.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adverse events that occur during our peak operating periods combined with the seasonality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reliance on information technology;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maintain the integrity of our customer or employee data;</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from the risk of accidents at our mountain resorts;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future acquisitions;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in particular the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impairments or write downs of our assets;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1" w:lineRule="exact"/>
        <w:rPr>
          <w:sz w:val="20"/>
          <w:szCs w:val="20"/>
          <w:color w:val="auto"/>
        </w:rPr>
      </w:pPr>
    </w:p>
    <w:p>
      <w:pPr>
        <w:ind w:right="4240"/>
        <w:spacing w:after="0" w:line="376"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Our exposure to market risk has not materially changed since July 31, 2015.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period covered by this Form 10-Q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those risk factors previously disclosed in Item 1A to Part I of the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first quarter of Fiscal 2016: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Average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Purchased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500" w:type="dxa"/>
            <w:vAlign w:val="bottom"/>
          </w:tcPr>
          <w:p>
            <w:pPr>
              <w:spacing w:after="0"/>
              <w:rPr>
                <w:sz w:val="18"/>
                <w:szCs w:val="18"/>
                <w:color w:val="auto"/>
              </w:rPr>
            </w:pPr>
          </w:p>
        </w:tc>
        <w:tc>
          <w:tcPr>
            <w:tcW w:w="18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Total Number</w:t>
            </w:r>
          </w:p>
        </w:tc>
        <w:tc>
          <w:tcPr>
            <w:tcW w:w="420" w:type="dxa"/>
            <w:vAlign w:val="bottom"/>
          </w:tcPr>
          <w:p>
            <w:pPr>
              <w:spacing w:after="0"/>
              <w:rPr>
                <w:sz w:val="18"/>
                <w:szCs w:val="18"/>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Price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as Part of Publicly</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500" w:type="dxa"/>
            <w:vAlign w:val="bottom"/>
          </w:tcPr>
          <w:p>
            <w:pPr>
              <w:spacing w:after="0"/>
              <w:rPr>
                <w:sz w:val="18"/>
                <w:szCs w:val="18"/>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5"/>
              </w:rPr>
              <w:t>of Shares</w:t>
            </w:r>
          </w:p>
        </w:tc>
        <w:tc>
          <w:tcPr>
            <w:tcW w:w="42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Paid per</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Announced Plans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500" w:type="dxa"/>
            <w:vAlign w:val="bottom"/>
          </w:tcPr>
          <w:p>
            <w:pPr>
              <w:ind w:left="162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Purchased</w:t>
            </w:r>
          </w:p>
        </w:tc>
        <w:tc>
          <w:tcPr>
            <w:tcW w:w="420" w:type="dxa"/>
            <w:vAlign w:val="bottom"/>
          </w:tcPr>
          <w:p>
            <w:pPr>
              <w:spacing w:after="0"/>
              <w:rPr>
                <w:sz w:val="20"/>
                <w:szCs w:val="20"/>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or Programs (1)</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 (1)</w:t>
            </w:r>
          </w:p>
        </w:tc>
      </w:tr>
      <w:tr>
        <w:trPr>
          <w:trHeight w:val="27"/>
        </w:trPr>
        <w:tc>
          <w:tcPr>
            <w:tcW w:w="3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1, 2015 – August 31, 2015</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1,050,889</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September 1, 2015 – September 30, 2015</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1,050,889</w:t>
            </w:r>
          </w:p>
        </w:tc>
      </w:tr>
      <w:tr>
        <w:trPr>
          <w:trHeight w:val="27"/>
        </w:trPr>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2015 – October 31, 2015</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377,830</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105.85</w:t>
            </w:r>
          </w:p>
        </w:tc>
        <w:tc>
          <w:tcPr>
            <w:tcW w:w="2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377,830</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673,059</w:t>
            </w:r>
          </w:p>
        </w:tc>
      </w:tr>
      <w:tr>
        <w:trPr>
          <w:trHeight w:val="237"/>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377,830</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105.85</w:t>
            </w:r>
          </w:p>
        </w:tc>
        <w:tc>
          <w:tcPr>
            <w:tcW w:w="2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377,830</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673,059</w:t>
            </w:r>
          </w:p>
        </w:tc>
      </w:tr>
      <w:tr>
        <w:trPr>
          <w:trHeight w:val="27"/>
        </w:trPr>
        <w:tc>
          <w:tcPr>
            <w:tcW w:w="3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60" w:hanging="328"/>
        <w:spacing w:after="0" w:line="27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share repurchase program is conducted under authorizations made from time to time by our Board of Directors. The Board of Directors initially authorized the repurchase of up to 3,000,000 shares of common stock (March 9, 2006), and later authorized additional repurchases of up to 3,000,000 additional shares (July 16, 2008). On December 4, 2015, our Board of Directors authorized additional repurchases of up to 1,500,000 additional shares. Repurchases under these authorizations may be made from time to time at prevailing prices as permitted by applicable laws, and subject to market conditions and other factors. These authorizations have no expiration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823"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Exhibit</w:t>
            </w:r>
          </w:p>
        </w:tc>
        <w:tc>
          <w:tcPr>
            <w:tcW w:w="868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Sequentially</w:t>
            </w:r>
          </w:p>
        </w:tc>
        <w:tc>
          <w:tcPr>
            <w:tcW w:w="0" w:type="dxa"/>
            <w:vAlign w:val="bottom"/>
          </w:tcPr>
          <w:p>
            <w:pPr>
              <w:spacing w:after="0"/>
              <w:rPr>
                <w:sz w:val="1"/>
                <w:szCs w:val="1"/>
                <w:color w:val="auto"/>
              </w:rPr>
            </w:pPr>
          </w:p>
        </w:tc>
      </w:tr>
      <w:tr>
        <w:trPr>
          <w:trHeight w:val="186"/>
        </w:trPr>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Number</w:t>
            </w:r>
          </w:p>
        </w:tc>
        <w:tc>
          <w:tcPr>
            <w:tcW w:w="8680" w:type="dxa"/>
            <w:vAlign w:val="bottom"/>
            <w:vMerge w:val="continue"/>
          </w:tcPr>
          <w:p>
            <w:pPr>
              <w:spacing w:after="0"/>
              <w:rPr>
                <w:sz w:val="16"/>
                <w:szCs w:val="16"/>
                <w:color w:val="auto"/>
              </w:rPr>
            </w:pPr>
          </w:p>
        </w:tc>
        <w:tc>
          <w:tcPr>
            <w:tcW w:w="1200" w:type="dxa"/>
            <w:vAlign w:val="bottom"/>
          </w:tcPr>
          <w:p>
            <w:pPr>
              <w:jc w:val="center"/>
              <w:ind w:left="135"/>
              <w:spacing w:after="0"/>
              <w:rPr>
                <w:sz w:val="20"/>
                <w:szCs w:val="20"/>
                <w:color w:val="auto"/>
              </w:rPr>
            </w:pPr>
            <w:r>
              <w:rPr>
                <w:rFonts w:ascii="Arial" w:cs="Arial" w:eastAsia="Arial" w:hAnsi="Arial"/>
                <w:sz w:val="14"/>
                <w:szCs w:val="14"/>
                <w:b w:val="1"/>
                <w:bCs w:val="1"/>
                <w:color w:val="auto"/>
                <w:w w:val="91"/>
              </w:rPr>
              <w:t>Numbered Page</w:t>
            </w:r>
          </w:p>
        </w:tc>
        <w:tc>
          <w:tcPr>
            <w:tcW w:w="0" w:type="dxa"/>
            <w:vAlign w:val="bottom"/>
          </w:tcPr>
          <w:p>
            <w:pPr>
              <w:spacing w:after="0"/>
              <w:rPr>
                <w:sz w:val="1"/>
                <w:szCs w:val="1"/>
                <w:color w:val="auto"/>
              </w:rPr>
            </w:pPr>
          </w:p>
        </w:tc>
      </w:tr>
      <w:tr>
        <w:trPr>
          <w:trHeight w:val="539"/>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8680" w:type="dxa"/>
            <w:vAlign w:val="bottom"/>
          </w:tcPr>
          <w:p>
            <w:pPr>
              <w:ind w:left="240"/>
              <w:spacing w:after="0"/>
              <w:rPr>
                <w:sz w:val="20"/>
                <w:szCs w:val="20"/>
                <w:color w:val="auto"/>
              </w:rPr>
            </w:pPr>
            <w:r>
              <w:rPr>
                <w:rFonts w:ascii="Arial" w:cs="Arial" w:eastAsia="Arial" w:hAnsi="Arial"/>
                <w:sz w:val="18"/>
                <w:szCs w:val="18"/>
                <w:color w:val="auto"/>
              </w:rPr>
              <w:t>Vail Resorts, Inc. Management Incentive Plan.</w:t>
            </w:r>
          </w:p>
        </w:tc>
        <w:tc>
          <w:tcPr>
            <w:tcW w:w="1200" w:type="dxa"/>
            <w:vAlign w:val="bottom"/>
          </w:tcPr>
          <w:p>
            <w:pPr>
              <w:jc w:val="center"/>
              <w:ind w:left="135"/>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526"/>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8680" w:type="dxa"/>
            <w:vAlign w:val="bottom"/>
          </w:tcPr>
          <w:p>
            <w:pPr>
              <w:ind w:left="240"/>
              <w:spacing w:after="0"/>
              <w:rPr>
                <w:sz w:val="20"/>
                <w:szCs w:val="20"/>
                <w:color w:val="auto"/>
              </w:rPr>
            </w:pPr>
            <w:r>
              <w:rPr>
                <w:rFonts w:ascii="Arial" w:cs="Arial" w:eastAsia="Arial" w:hAnsi="Arial"/>
                <w:sz w:val="18"/>
                <w:szCs w:val="18"/>
                <w:color w:val="auto"/>
                <w:w w:val="91"/>
              </w:rPr>
              <w:t>First Amendment to Seventh Amended and Restated Credit Agreement dated as of December 4, 2015, among Vail</w:t>
            </w:r>
          </w:p>
        </w:tc>
        <w:tc>
          <w:tcPr>
            <w:tcW w:w="1200" w:type="dxa"/>
            <w:vAlign w:val="bottom"/>
          </w:tcPr>
          <w:p>
            <w:pPr>
              <w:jc w:val="center"/>
              <w:ind w:left="135"/>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9"/>
              </w:rPr>
              <w:t>Holdings, Inc., as borrower, Bank of America N.A., as administrative agent, and the Lenders party thereto.</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868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200" w:type="dxa"/>
            <w:vAlign w:val="bottom"/>
          </w:tcPr>
          <w:p>
            <w:pPr>
              <w:jc w:val="center"/>
              <w:ind w:left="135"/>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55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868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200" w:type="dxa"/>
            <w:vAlign w:val="bottom"/>
          </w:tcPr>
          <w:p>
            <w:pPr>
              <w:jc w:val="center"/>
              <w:ind w:left="135"/>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539"/>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8680" w:type="dxa"/>
            <w:vAlign w:val="bottom"/>
          </w:tcPr>
          <w:p>
            <w:pPr>
              <w:ind w:left="240"/>
              <w:spacing w:after="0"/>
              <w:rPr>
                <w:sz w:val="20"/>
                <w:szCs w:val="20"/>
                <w:color w:val="auto"/>
              </w:rPr>
            </w:pPr>
            <w:r>
              <w:rPr>
                <w:rFonts w:ascii="Arial" w:cs="Arial" w:eastAsia="Arial" w:hAnsi="Arial"/>
                <w:sz w:val="18"/>
                <w:szCs w:val="18"/>
                <w:color w:val="auto"/>
              </w:rPr>
              <w:t>Certifications of Chief Executive Officer and Chief Financial Officer pursuant to 18 U.S.C. Section 1350 as</w:t>
            </w:r>
          </w:p>
        </w:tc>
        <w:tc>
          <w:tcPr>
            <w:tcW w:w="1200" w:type="dxa"/>
            <w:vAlign w:val="bottom"/>
          </w:tcPr>
          <w:p>
            <w:pPr>
              <w:jc w:val="center"/>
              <w:ind w:left="135"/>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420" w:right="1740" w:hanging="1385"/>
        <w:spacing w:after="0" w:line="270"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months ended October 31, 2015 formatted in eXtensible Business Reporting Language: (i) Unaudited Consolidated Condensed Balance Sheets as of October 31, 2015, July 31, 2015, and October 31, 2014; (ii) Unaudited Consolidated Condensed Statements of Operations for the three months ended October 31, 2015 and October 31, 2014; (iii) Unaudited Consolidated Condensed Statements of Comprehensive Income (Loss) for the three months ended October 31, 2015 and October 31, 2014; (iv) Unaudited Consolidated Condensed Statements of Stockholders' Equity for the three months ended October 31, 2015 and October 31, 2014; (v) Unaudited Consolidated Condensed Statements of Cash Flows for the three months ended October 31, 2015 and October 31, 2014; and (vi) Notes to the Consolidated Condensed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77" w:right="239" w:bottom="1440" w:gutter="0" w:footer="0" w:header="0"/>
        </w:sectPr>
      </w:pPr>
    </w:p>
    <w:bookmarkStart w:id="36" w:name="page37"/>
    <w:bookmarkEnd w:id="3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3660" w:type="dxa"/>
            <w:vAlign w:val="bottom"/>
          </w:tcPr>
          <w:p>
            <w:pPr>
              <w:spacing w:after="0"/>
              <w:rPr>
                <w:sz w:val="20"/>
                <w:szCs w:val="20"/>
                <w:color w:val="auto"/>
              </w:rPr>
            </w:pPr>
            <w:r>
              <w:rPr>
                <w:rFonts w:ascii="Arial" w:cs="Arial" w:eastAsia="Arial" w:hAnsi="Arial"/>
                <w:sz w:val="18"/>
                <w:szCs w:val="18"/>
                <w:color w:val="auto"/>
              </w:rPr>
              <w:t>Date: December 7, 2015</w:t>
            </w:r>
          </w:p>
        </w:tc>
        <w:tc>
          <w:tcPr>
            <w:tcW w:w="252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7"/>
        </w:trPr>
        <w:tc>
          <w:tcPr>
            <w:tcW w:w="3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Michael Z. Barkin</w:t>
            </w:r>
          </w:p>
        </w:tc>
      </w:tr>
      <w:tr>
        <w:trPr>
          <w:trHeight w:val="270"/>
        </w:trPr>
        <w:tc>
          <w:tcPr>
            <w:tcW w:w="36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36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594"/>
        </w:trPr>
        <w:tc>
          <w:tcPr>
            <w:tcW w:w="3660" w:type="dxa"/>
            <w:vAlign w:val="bottom"/>
          </w:tcPr>
          <w:p>
            <w:pPr>
              <w:spacing w:after="0"/>
              <w:rPr>
                <w:sz w:val="20"/>
                <w:szCs w:val="20"/>
                <w:color w:val="auto"/>
              </w:rPr>
            </w:pPr>
            <w:r>
              <w:rPr>
                <w:rFonts w:ascii="Arial" w:cs="Arial" w:eastAsia="Arial" w:hAnsi="Arial"/>
                <w:sz w:val="18"/>
                <w:szCs w:val="18"/>
                <w:color w:val="auto"/>
              </w:rPr>
              <w:t>Date: December 7, 2015</w:t>
            </w:r>
          </w:p>
        </w:tc>
        <w:tc>
          <w:tcPr>
            <w:tcW w:w="252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/s/ Mark L. Schoppet</w:t>
            </w:r>
          </w:p>
        </w:tc>
      </w:tr>
      <w:tr>
        <w:trPr>
          <w:trHeight w:val="27"/>
        </w:trPr>
        <w:tc>
          <w:tcPr>
            <w:tcW w:w="3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Mark L. Schoppet</w:t>
            </w:r>
          </w:p>
        </w:tc>
      </w:tr>
      <w:tr>
        <w:trPr>
          <w:trHeight w:val="270"/>
        </w:trPr>
        <w:tc>
          <w:tcPr>
            <w:tcW w:w="36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Senior Vice President, Controller and Chief Accounting Officer</w:t>
            </w:r>
          </w:p>
        </w:tc>
      </w:tr>
      <w:tr>
        <w:trPr>
          <w:trHeight w:val="270"/>
        </w:trPr>
        <w:tc>
          <w:tcPr>
            <w:tcW w:w="36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918"/>
        </w:trPr>
        <w:tc>
          <w:tcPr>
            <w:tcW w:w="3660" w:type="dxa"/>
            <w:vAlign w:val="bottom"/>
          </w:tcPr>
          <w:p>
            <w:pPr>
              <w:spacing w:after="0"/>
              <w:rPr>
                <w:sz w:val="24"/>
                <w:szCs w:val="24"/>
                <w:color w:val="auto"/>
              </w:rPr>
            </w:pPr>
          </w:p>
        </w:tc>
        <w:tc>
          <w:tcPr>
            <w:tcW w:w="252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4860" w:type="dxa"/>
            <w:vAlign w:val="bottom"/>
          </w:tcPr>
          <w:p>
            <w:pPr>
              <w:spacing w:after="0"/>
              <w:rPr>
                <w:sz w:val="24"/>
                <w:szCs w:val="24"/>
                <w:color w:val="auto"/>
              </w:rPr>
            </w:pPr>
          </w:p>
        </w:tc>
      </w:tr>
    </w:tbl>
    <w:p>
      <w:pPr>
        <w:sectPr>
          <w:pgSz w:w="11900" w:h="16838" w:orient="portrait"/>
          <w:cols w:equalWidth="0" w:num="1">
            <w:col w:w="11220"/>
          </w:cols>
          <w:pgMar w:left="240" w:top="1012"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Vail Resorts</w:t>
      </w:r>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Management Incentive Plan</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43"/>
          <w:szCs w:val="43"/>
          <w:b w:val="1"/>
          <w:bCs w:val="1"/>
          <w:color w:val="auto"/>
        </w:rPr>
        <w:t>Grades 33 &amp; Above</w:t>
      </w:r>
    </w:p>
    <w:p>
      <w:pPr>
        <w:sectPr>
          <w:pgSz w:w="11900" w:h="16838" w:orient="portrait"/>
          <w:cols w:equalWidth="0" w:num="1">
            <w:col w:w="10220"/>
          </w:cols>
          <w:pgMar w:left="1440" w:top="634"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Objective</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Rewarding and recognizing performance in one or more of the following areas:</w:t>
      </w:r>
    </w:p>
    <w:p>
      <w:pPr>
        <w:spacing w:after="0" w:line="112" w:lineRule="exact"/>
        <w:rPr>
          <w:sz w:val="20"/>
          <w:szCs w:val="20"/>
          <w:color w:val="auto"/>
        </w:rPr>
      </w:pPr>
    </w:p>
    <w:p>
      <w:pPr>
        <w:jc w:val="both"/>
        <w:ind w:left="660" w:hanging="328"/>
        <w:spacing w:after="0" w:line="345"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Financial - Financial results at the end of the fiscal year are compared to EBITDA targets determined at the beginning of the fiscal year. EBITDA (Earnings before Interest, Taxes and Depreciation and Amortization excluding stock based compensation) results are consolidated into various divisions of the Company and are defined in the funding section below.</w:t>
      </w:r>
    </w:p>
    <w:p>
      <w:pPr>
        <w:spacing w:after="0" w:line="4" w:lineRule="exact"/>
        <w:rPr>
          <w:rFonts w:ascii="Arial" w:cs="Arial" w:eastAsia="Arial" w:hAnsi="Arial"/>
          <w:sz w:val="22"/>
          <w:szCs w:val="22"/>
          <w:color w:val="auto"/>
        </w:rPr>
      </w:pPr>
    </w:p>
    <w:p>
      <w:pPr>
        <w:ind w:left="660" w:right="20" w:hanging="328"/>
        <w:spacing w:after="0" w:line="345"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Division Goal Attainment - Specified division goals are used instead of EBITDA results for the real estate development division.</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Individual employee performance, including adherence to the Company’s mission and values.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Dates</w:t>
      </w:r>
    </w:p>
    <w:p>
      <w:pPr>
        <w:spacing w:after="0" w:line="138"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The Plan is effective and will remain in effect until amended or terminated. The Plan Year will run concurrently with the fiscal year under which the employee is governed.</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38" w:lineRule="exact"/>
        <w:rPr>
          <w:sz w:val="20"/>
          <w:szCs w:val="20"/>
          <w:color w:val="auto"/>
        </w:rPr>
      </w:pPr>
    </w:p>
    <w:p>
      <w:pPr>
        <w:jc w:val="both"/>
        <w:ind w:right="20"/>
        <w:spacing w:after="0" w:line="352" w:lineRule="auto"/>
        <w:rPr>
          <w:sz w:val="20"/>
          <w:szCs w:val="20"/>
          <w:color w:val="auto"/>
        </w:rPr>
      </w:pPr>
      <w:r>
        <w:rPr>
          <w:rFonts w:ascii="Arial" w:cs="Arial" w:eastAsia="Arial" w:hAnsi="Arial"/>
          <w:sz w:val="22"/>
          <w:szCs w:val="22"/>
          <w:color w:val="auto"/>
        </w:rPr>
        <w:t>All full-time employees of the Company at grade levels 33 and above as identified in the Company’s compensation grade structures are eligible to participate in the Plan.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Percentages</w:t>
      </w:r>
    </w:p>
    <w:p>
      <w:pPr>
        <w:spacing w:after="0" w:line="138" w:lineRule="exact"/>
        <w:rPr>
          <w:sz w:val="20"/>
          <w:szCs w:val="20"/>
          <w:color w:val="auto"/>
        </w:rPr>
      </w:pPr>
    </w:p>
    <w:p>
      <w:pPr>
        <w:jc w:val="both"/>
        <w:ind w:right="20"/>
        <w:spacing w:after="0" w:line="371" w:lineRule="auto"/>
        <w:rPr>
          <w:sz w:val="20"/>
          <w:szCs w:val="20"/>
          <w:color w:val="auto"/>
        </w:rPr>
      </w:pPr>
      <w:r>
        <w:rPr>
          <w:rFonts w:ascii="Arial" w:cs="Arial" w:eastAsia="Arial" w:hAnsi="Arial"/>
          <w:sz w:val="21"/>
          <w:szCs w:val="21"/>
          <w:color w:val="auto"/>
        </w:rPr>
        <w:t>The target bonus percentages for employees are determined by the Compensation Committee in its sole discretion on a yearly basis by the end of the first quarter of each fiscal year and while the attainment of Resort, Mountain, Retail and Lodging EBITDA performance targets and corresponding funding levels and VRDC Goals are substantially uncertain.</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Incentives</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Each employee’s target bonus incentive is calculated based on the target bonus percentage of his or her annual salary as of the last day of the measurement period the employee was classified in a Grade 33 position, except where proration is needed as defined in the proration of target incentives section.</w:t>
      </w:r>
    </w:p>
    <w:p>
      <w:pPr>
        <w:sectPr>
          <w:pgSz w:w="11900" w:h="16838" w:orient="portrait"/>
          <w:cols w:equalWidth="0" w:num="1">
            <w:col w:w="11420"/>
          </w:cols>
          <w:pgMar w:left="240" w:top="634"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Funding</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 xml:space="preserve">The funding at the end of the fiscal year is based on the final EBITDA results or Division Goal Attainment of the Company’s business divisions and the eligible employee’s incentive target amounts as determined by the Compensation Committee and as defined in </w:t>
      </w:r>
      <w:r>
        <w:rPr>
          <w:rFonts w:ascii="Arial" w:cs="Arial" w:eastAsia="Arial" w:hAnsi="Arial"/>
          <w:sz w:val="22"/>
          <w:szCs w:val="22"/>
          <w:u w:val="single" w:color="auto"/>
          <w:color w:val="auto"/>
        </w:rPr>
        <w:t>Exhibits A and B</w:t>
      </w:r>
      <w:r>
        <w:rPr>
          <w:rFonts w:ascii="Arial" w:cs="Arial" w:eastAsia="Arial" w:hAnsi="Arial"/>
          <w:sz w:val="22"/>
          <w:szCs w:val="22"/>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Division Definitions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EBITDA Results for each of the Company’s business divisions are defined as follows:</w:t>
      </w:r>
    </w:p>
    <w:p>
      <w:pPr>
        <w:spacing w:after="0" w:line="112" w:lineRule="exact"/>
        <w:rPr>
          <w:sz w:val="20"/>
          <w:szCs w:val="20"/>
          <w:color w:val="auto"/>
        </w:rPr>
      </w:pPr>
    </w:p>
    <w:p>
      <w:pPr>
        <w:ind w:left="660" w:hanging="328"/>
        <w:spacing w:after="0" w:line="345"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Resort EBITDA results include the EBITDA results for all Mountain resorts, Lodging divisions and Retail divisions combined.</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Retail EBITDA results include all EBITDA results of the Retail division combined.</w:t>
      </w:r>
    </w:p>
    <w:p>
      <w:pPr>
        <w:spacing w:after="0" w:line="111" w:lineRule="exact"/>
        <w:rPr>
          <w:rFonts w:ascii="Arial" w:cs="Arial" w:eastAsia="Arial" w:hAnsi="Arial"/>
          <w:sz w:val="22"/>
          <w:szCs w:val="22"/>
          <w:color w:val="auto"/>
        </w:rPr>
      </w:pPr>
    </w:p>
    <w:p>
      <w:pPr>
        <w:ind w:left="660" w:right="20" w:hanging="328"/>
        <w:spacing w:after="0" w:line="345"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Corporate Lodging EBITDA results include the pre-corporate allocated G&amp;A EBITDA results of the Lodging division combined.</w:t>
      </w:r>
    </w:p>
    <w:p>
      <w:pPr>
        <w:spacing w:after="0" w:line="2" w:lineRule="exact"/>
        <w:rPr>
          <w:rFonts w:ascii="Arial" w:cs="Arial" w:eastAsia="Arial" w:hAnsi="Arial"/>
          <w:sz w:val="22"/>
          <w:szCs w:val="22"/>
          <w:color w:val="auto"/>
        </w:rPr>
      </w:pPr>
    </w:p>
    <w:p>
      <w:pPr>
        <w:ind w:left="660" w:hanging="328"/>
        <w:spacing w:after="0" w:line="352"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Division Goal Attainment - Specified division goals that are required for the development division (VRDC employees).</w:t>
      </w:r>
    </w:p>
    <w:p>
      <w:pPr>
        <w:spacing w:after="0" w:line="298"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The funding is based on the EBITDA results of the division where the employee works, the scope of his or her responsibilities and where his or her salary expense is charged.</w:t>
      </w:r>
    </w:p>
    <w:p>
      <w:pPr>
        <w:spacing w:after="0" w:line="272" w:lineRule="exact"/>
        <w:rPr>
          <w:sz w:val="20"/>
          <w:szCs w:val="20"/>
          <w:color w:val="auto"/>
        </w:rPr>
      </w:pPr>
    </w:p>
    <w:p>
      <w:pPr>
        <w:spacing w:after="0" w:line="376" w:lineRule="auto"/>
        <w:rPr>
          <w:sz w:val="20"/>
          <w:szCs w:val="20"/>
          <w:color w:val="auto"/>
        </w:rPr>
      </w:pPr>
      <w:r>
        <w:rPr>
          <w:rFonts w:ascii="Arial" w:cs="Arial" w:eastAsia="Arial" w:hAnsi="Arial"/>
          <w:sz w:val="22"/>
          <w:szCs w:val="22"/>
          <w:b w:val="1"/>
          <w:bCs w:val="1"/>
          <w:color w:val="auto"/>
        </w:rPr>
        <w:t>For Corporate executives</w:t>
      </w:r>
      <w:r>
        <w:rPr>
          <w:rFonts w:ascii="Arial" w:cs="Arial" w:eastAsia="Arial" w:hAnsi="Arial"/>
          <w:sz w:val="22"/>
          <w:szCs w:val="22"/>
          <w:color w:val="auto"/>
        </w:rPr>
        <w:t>, the Plan is 95% funded based on Resort EBITDA and 5% funded based on the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VRDC Goals.</w:t>
      </w:r>
    </w:p>
    <w:p>
      <w:pPr>
        <w:spacing w:after="0" w:line="247" w:lineRule="exact"/>
        <w:rPr>
          <w:sz w:val="20"/>
          <w:szCs w:val="20"/>
          <w:color w:val="auto"/>
        </w:rPr>
      </w:pPr>
    </w:p>
    <w:p>
      <w:pPr>
        <w:spacing w:after="0" w:line="376" w:lineRule="auto"/>
        <w:rPr>
          <w:sz w:val="20"/>
          <w:szCs w:val="20"/>
          <w:color w:val="auto"/>
        </w:rPr>
      </w:pPr>
      <w:r>
        <w:rPr>
          <w:rFonts w:ascii="Arial" w:cs="Arial" w:eastAsia="Arial" w:hAnsi="Arial"/>
          <w:sz w:val="22"/>
          <w:szCs w:val="22"/>
          <w:b w:val="1"/>
          <w:bCs w:val="1"/>
          <w:color w:val="auto"/>
        </w:rPr>
        <w:t>For Mountain executives</w:t>
      </w:r>
      <w:r>
        <w:rPr>
          <w:rFonts w:ascii="Arial" w:cs="Arial" w:eastAsia="Arial" w:hAnsi="Arial"/>
          <w:sz w:val="22"/>
          <w:szCs w:val="22"/>
          <w:color w:val="auto"/>
        </w:rPr>
        <w:t>, the Plan is 95% funded based on Resort EBITDA and 5% funded based on the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VRDC Goals.</w:t>
      </w:r>
    </w:p>
    <w:p>
      <w:pPr>
        <w:spacing w:after="0" w:line="247" w:lineRule="exact"/>
        <w:rPr>
          <w:sz w:val="20"/>
          <w:szCs w:val="20"/>
          <w:color w:val="auto"/>
        </w:rPr>
      </w:pPr>
    </w:p>
    <w:p>
      <w:pPr>
        <w:ind w:right="20"/>
        <w:spacing w:after="0" w:line="376" w:lineRule="auto"/>
        <w:rPr>
          <w:sz w:val="20"/>
          <w:szCs w:val="20"/>
          <w:color w:val="auto"/>
        </w:rPr>
      </w:pPr>
      <w:r>
        <w:rPr>
          <w:rFonts w:ascii="Arial" w:cs="Arial" w:eastAsia="Arial" w:hAnsi="Arial"/>
          <w:sz w:val="22"/>
          <w:szCs w:val="22"/>
          <w:b w:val="1"/>
          <w:bCs w:val="1"/>
          <w:color w:val="auto"/>
        </w:rPr>
        <w:t>For Lodging executives</w:t>
      </w:r>
      <w:r>
        <w:rPr>
          <w:rFonts w:ascii="Arial" w:cs="Arial" w:eastAsia="Arial" w:hAnsi="Arial"/>
          <w:sz w:val="22"/>
          <w:szCs w:val="22"/>
          <w:color w:val="auto"/>
        </w:rPr>
        <w:t>, the Plan is 95% funded based on Resort EBITDA and 5% funded based on the attainment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VRDC Goals.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Retail executives</w:t>
      </w:r>
      <w:r>
        <w:rPr>
          <w:rFonts w:ascii="Arial" w:cs="Arial" w:eastAsia="Arial" w:hAnsi="Arial"/>
          <w:sz w:val="22"/>
          <w:szCs w:val="22"/>
          <w:color w:val="auto"/>
        </w:rPr>
        <w:t>, the Plan is 75% funded based on Retail EBITDA and 25% funded based on Resort EBITDA.</w:t>
      </w:r>
    </w:p>
    <w:p>
      <w:pPr>
        <w:spacing w:after="0" w:line="200" w:lineRule="exact"/>
        <w:rPr>
          <w:sz w:val="20"/>
          <w:szCs w:val="20"/>
          <w:color w:val="auto"/>
        </w:rPr>
      </w:pPr>
    </w:p>
    <w:p>
      <w:pPr>
        <w:spacing w:after="0" w:line="222" w:lineRule="exact"/>
        <w:rPr>
          <w:sz w:val="20"/>
          <w:szCs w:val="20"/>
          <w:color w:val="auto"/>
        </w:rPr>
      </w:pPr>
    </w:p>
    <w:p>
      <w:pPr>
        <w:spacing w:after="0" w:line="376" w:lineRule="auto"/>
        <w:rPr>
          <w:sz w:val="20"/>
          <w:szCs w:val="20"/>
          <w:color w:val="auto"/>
        </w:rPr>
      </w:pPr>
      <w:r>
        <w:rPr>
          <w:rFonts w:ascii="Arial" w:cs="Arial" w:eastAsia="Arial" w:hAnsi="Arial"/>
          <w:sz w:val="22"/>
          <w:szCs w:val="22"/>
          <w:b w:val="1"/>
          <w:bCs w:val="1"/>
          <w:color w:val="auto"/>
        </w:rPr>
        <w:t>For VRDC executives</w:t>
      </w:r>
      <w:r>
        <w:rPr>
          <w:rFonts w:ascii="Arial" w:cs="Arial" w:eastAsia="Arial" w:hAnsi="Arial"/>
          <w:sz w:val="22"/>
          <w:szCs w:val="22"/>
          <w:color w:val="auto"/>
        </w:rPr>
        <w:t>, the Plan is 75% funded based on the attainment of one or more of the VRDC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goals and 25% funded based on Resort EBITDA.</w:t>
      </w:r>
    </w:p>
    <w:p>
      <w:pPr>
        <w:spacing w:after="0" w:line="273"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The maximum amount that may be earned as an award under the Plan for any Plan year by any one eligible employee shall be $4,000,000.</w:t>
      </w:r>
    </w:p>
    <w:p>
      <w:pPr>
        <w:sectPr>
          <w:pgSz w:w="11900" w:h="16838" w:orient="portrait"/>
          <w:cols w:equalWidth="0" w:num="1">
            <w:col w:w="11420"/>
          </w:cols>
          <w:pgMar w:left="240" w:top="634"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Funding Variable</w:t>
      </w:r>
    </w:p>
    <w:p>
      <w:pPr>
        <w:spacing w:after="0" w:line="138" w:lineRule="exact"/>
        <w:rPr>
          <w:sz w:val="20"/>
          <w:szCs w:val="20"/>
          <w:color w:val="auto"/>
        </w:rPr>
      </w:pPr>
    </w:p>
    <w:p>
      <w:pPr>
        <w:jc w:val="both"/>
        <w:spacing w:after="0" w:line="347" w:lineRule="auto"/>
        <w:rPr>
          <w:sz w:val="20"/>
          <w:szCs w:val="20"/>
          <w:color w:val="auto"/>
        </w:rPr>
      </w:pPr>
      <w:r>
        <w:rPr>
          <w:rFonts w:ascii="Arial" w:cs="Arial" w:eastAsia="Arial" w:hAnsi="Arial"/>
          <w:sz w:val="22"/>
          <w:szCs w:val="22"/>
          <w:color w:val="auto"/>
        </w:rPr>
        <w:t xml:space="preserve">At each fiscal year-end, the funding will be based on the percentage of EBITDA target achieved. The schedule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used to determine the percent of the target incentive funded by Resort, Mountain, Retail and Lodging EBITDA performance. The Compensation Committee will establish the Resort, Mountain, Retail and Lodging EBITDA performance targets and corresponding funding levels and the VRDC Goals and may amend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by the end of the first quarter of each fiscal year and while the attainment of such goals is substantially uncertain. EBITDA results are rounded to the nearest whole percentage using simple rounding.</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Performance Rating Variable</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For all employees excluding the Chief Executive Officer, the target incentive will be influenced based on individual performance. The Chief Executive Officer’s total bonus will be equal to, and based solely on, the funded target incentive amount.</w:t>
      </w:r>
    </w:p>
    <w:p>
      <w:pPr>
        <w:spacing w:after="0" w:line="301" w:lineRule="exact"/>
        <w:rPr>
          <w:sz w:val="20"/>
          <w:szCs w:val="20"/>
          <w:color w:val="auto"/>
        </w:rPr>
      </w:pPr>
    </w:p>
    <w:p>
      <w:pPr>
        <w:jc w:val="both"/>
        <w:spacing w:after="0" w:line="347" w:lineRule="auto"/>
        <w:rPr>
          <w:sz w:val="20"/>
          <w:szCs w:val="20"/>
          <w:color w:val="auto"/>
        </w:rPr>
      </w:pPr>
      <w:r>
        <w:rPr>
          <w:rFonts w:ascii="Arial" w:cs="Arial" w:eastAsia="Arial" w:hAnsi="Arial"/>
          <w:sz w:val="22"/>
          <w:szCs w:val="22"/>
          <w:color w:val="auto"/>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 level position, any applicable incentive payments will be calculated by applying the Meets Expectations performance variable to the incentive target for the new position.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Payout:</w:t>
      </w:r>
    </w:p>
    <w:p>
      <w:pPr>
        <w:spacing w:after="0" w:line="13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Grade 33 Corporate employee</w:t>
      </w:r>
    </w:p>
    <w:p>
      <w:pPr>
        <w:spacing w:after="0" w:line="111" w:lineRule="exact"/>
        <w:rPr>
          <w:rFonts w:ascii="Arial" w:cs="Arial" w:eastAsia="Arial" w:hAnsi="Arial"/>
          <w:sz w:val="22"/>
          <w:szCs w:val="22"/>
          <w:b w:val="1"/>
          <w:bCs w:val="1"/>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$200,000 annual salary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8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Target incentive $ = $200,000 x 42.5% = $85,000</w:t>
      </w:r>
    </w:p>
    <w:p>
      <w:pPr>
        <w:spacing w:after="0" w:line="200" w:lineRule="exact"/>
        <w:rPr>
          <w:rFonts w:ascii="Arial" w:cs="Arial" w:eastAsia="Arial" w:hAnsi="Arial"/>
          <w:sz w:val="22"/>
          <w:szCs w:val="22"/>
          <w:color w:val="auto"/>
        </w:rPr>
      </w:pPr>
    </w:p>
    <w:p>
      <w:pPr>
        <w:spacing w:after="0" w:line="30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Resort EBITDA results are at 101% of target</w:t>
      </w:r>
    </w:p>
    <w:p>
      <w:pPr>
        <w:spacing w:after="0" w:line="85" w:lineRule="exact"/>
        <w:rPr>
          <w:rFonts w:ascii="Arial" w:cs="Arial" w:eastAsia="Arial" w:hAnsi="Arial"/>
          <w:sz w:val="22"/>
          <w:szCs w:val="22"/>
          <w:b w:val="1"/>
          <w:bCs w:val="1"/>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Resort EBITDA funding = 107.5%</w:t>
      </w:r>
    </w:p>
    <w:p>
      <w:pPr>
        <w:spacing w:after="0" w:line="200" w:lineRule="exact"/>
        <w:rPr>
          <w:rFonts w:ascii="Arial" w:cs="Arial" w:eastAsia="Arial" w:hAnsi="Arial"/>
          <w:sz w:val="22"/>
          <w:szCs w:val="22"/>
          <w:color w:val="auto"/>
        </w:rPr>
      </w:pPr>
    </w:p>
    <w:p>
      <w:pPr>
        <w:spacing w:after="0" w:line="30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VRDC Goal met at 100%</w:t>
      </w:r>
    </w:p>
    <w:p>
      <w:pPr>
        <w:spacing w:after="0" w:line="85" w:lineRule="exact"/>
        <w:rPr>
          <w:rFonts w:ascii="Arial" w:cs="Arial" w:eastAsia="Arial" w:hAnsi="Arial"/>
          <w:sz w:val="22"/>
          <w:szCs w:val="22"/>
          <w:b w:val="1"/>
          <w:bCs w:val="1"/>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VRDC Goal funding = 100%</w:t>
      </w:r>
    </w:p>
    <w:p>
      <w:pPr>
        <w:sectPr>
          <w:pgSz w:w="11900" w:h="16838" w:orient="portrait"/>
          <w:cols w:equalWidth="0" w:num="1">
            <w:col w:w="11420"/>
          </w:cols>
          <w:pgMar w:left="240" w:top="944" w:right="239" w:bottom="1440" w:gutter="0" w:footer="0" w:header="0"/>
        </w:sectPr>
      </w:pPr>
    </w:p>
    <w:bookmarkStart w:id="41" w:name="page42"/>
    <w:bookmarkEnd w:id="41"/>
    <w:p>
      <w:pPr>
        <w:ind w:right="40"/>
        <w:spacing w:after="0" w:line="345" w:lineRule="auto"/>
        <w:rPr>
          <w:sz w:val="20"/>
          <w:szCs w:val="20"/>
          <w:color w:val="auto"/>
        </w:rPr>
      </w:pPr>
      <w:r>
        <w:rPr>
          <w:rFonts w:ascii="Arial" w:cs="Arial" w:eastAsia="Arial" w:hAnsi="Arial"/>
          <w:sz w:val="22"/>
          <w:szCs w:val="22"/>
          <w:color w:val="auto"/>
        </w:rPr>
        <w:t>With Resort EBITDA funding 95% of the plan and VRDC goals funding 5% of the plan, funded incentive = 107.1% x 85,000 = $91,035.</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Resort Funding: (107.5% x 95%) or 102.1%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VRCD Funding: + </w:t>
      </w:r>
      <w:r>
        <w:rPr>
          <w:rFonts w:ascii="Arial" w:cs="Arial" w:eastAsia="Arial" w:hAnsi="Arial"/>
          <w:sz w:val="22"/>
          <w:szCs w:val="22"/>
          <w:u w:val="single" w:color="auto"/>
          <w:color w:val="auto"/>
        </w:rPr>
        <w:t>(100.0% x 5%) or 5.0%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Funding % = 107.1%</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Individual performance rating of “Achieves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“Achieves Expectations” = 100% of funded incentive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$91,035 x 100% = </w:t>
      </w:r>
      <w:r>
        <w:rPr>
          <w:rFonts w:ascii="Arial" w:cs="Arial" w:eastAsia="Arial" w:hAnsi="Arial"/>
          <w:sz w:val="22"/>
          <w:szCs w:val="22"/>
          <w:u w:val="single" w:color="auto"/>
          <w:color w:val="auto"/>
        </w:rPr>
        <w:t>$91,035 payout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incentive payout can be 0% to 130% of the target amount as displayed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New Hires</w:t>
      </w:r>
    </w:p>
    <w:p>
      <w:pPr>
        <w:spacing w:after="0" w:line="138" w:lineRule="exact"/>
        <w:rPr>
          <w:sz w:val="20"/>
          <w:szCs w:val="20"/>
          <w:color w:val="auto"/>
        </w:rPr>
      </w:pPr>
    </w:p>
    <w:p>
      <w:pPr>
        <w:jc w:val="both"/>
        <w:ind w:right="20"/>
        <w:spacing w:after="0" w:line="349" w:lineRule="auto"/>
        <w:rPr>
          <w:sz w:val="20"/>
          <w:szCs w:val="20"/>
          <w:color w:val="auto"/>
        </w:rPr>
      </w:pPr>
      <w:r>
        <w:rPr>
          <w:rFonts w:ascii="Arial" w:cs="Arial" w:eastAsia="Arial" w:hAnsi="Arial"/>
          <w:sz w:val="22"/>
          <w:szCs w:val="22"/>
          <w:color w:val="auto"/>
        </w:rPr>
        <w:t>An employee hired into a position eligible for this Plan will receive a prorated incentive for the Plan Year based on the hire date and following schedule. Anyone hired after April 30 will not be eligible to receive an award in that fiscal year, except at the sole discretion of the Compensation Committee.</w:t>
      </w:r>
    </w:p>
    <w:p>
      <w:pPr>
        <w:spacing w:after="0" w:line="355" w:lineRule="exact"/>
        <w:rPr>
          <w:sz w:val="20"/>
          <w:szCs w:val="20"/>
          <w:color w:val="auto"/>
        </w:rPr>
      </w:pPr>
    </w:p>
    <w:tbl>
      <w:tblPr>
        <w:tblLayout w:type="fixed"/>
        <w:tblInd w:w="3390" w:type="dxa"/>
        <w:tblCellMar>
          <w:top w:w="0" w:type="dxa"/>
          <w:left w:w="0" w:type="dxa"/>
          <w:bottom w:w="0" w:type="dxa"/>
          <w:right w:w="0" w:type="dxa"/>
        </w:tblCellMar>
      </w:tblPr>
      <w:tr>
        <w:trPr>
          <w:trHeight w:val="264"/>
        </w:trPr>
        <w:tc>
          <w:tcPr>
            <w:tcW w:w="3440" w:type="dxa"/>
            <w:vAlign w:val="bottom"/>
            <w:tcBorders>
              <w:top w:val="single" w:sz="8" w:color="auto"/>
              <w:left w:val="single" w:sz="8" w:color="auto"/>
              <w:bottom w:val="single" w:sz="8" w:color="auto"/>
              <w:right w:val="single" w:sz="8" w:color="auto"/>
            </w:tcBorders>
            <w:shd w:val="clear" w:color="auto" w:fill="DDD9C3"/>
          </w:tcPr>
          <w:p>
            <w:pPr>
              <w:ind w:left="40"/>
              <w:spacing w:after="0"/>
              <w:rPr>
                <w:sz w:val="20"/>
                <w:szCs w:val="20"/>
                <w:color w:val="auto"/>
              </w:rPr>
            </w:pPr>
            <w:r>
              <w:rPr>
                <w:rFonts w:ascii="Arial" w:cs="Arial" w:eastAsia="Arial" w:hAnsi="Arial"/>
                <w:sz w:val="18"/>
                <w:szCs w:val="18"/>
                <w:b w:val="1"/>
                <w:bCs w:val="1"/>
                <w:color w:val="auto"/>
              </w:rPr>
              <w:t>Month of Hire</w:t>
            </w:r>
          </w:p>
        </w:tc>
        <w:tc>
          <w:tcPr>
            <w:tcW w:w="1260" w:type="dxa"/>
            <w:vAlign w:val="bottom"/>
            <w:tcBorders>
              <w:top w:val="single" w:sz="8" w:color="auto"/>
              <w:bottom w:val="single" w:sz="8" w:color="auto"/>
              <w:right w:val="single" w:sz="8" w:color="auto"/>
            </w:tcBorders>
            <w:shd w:val="clear" w:color="auto" w:fill="DDD9C3"/>
          </w:tcPr>
          <w:p>
            <w:pPr>
              <w:jc w:val="right"/>
              <w:spacing w:after="0"/>
              <w:rPr>
                <w:sz w:val="20"/>
                <w:szCs w:val="20"/>
                <w:color w:val="auto"/>
              </w:rPr>
            </w:pPr>
            <w:r>
              <w:rPr>
                <w:rFonts w:ascii="Arial" w:cs="Arial" w:eastAsia="Arial" w:hAnsi="Arial"/>
                <w:sz w:val="18"/>
                <w:szCs w:val="18"/>
                <w:b w:val="1"/>
                <w:bCs w:val="1"/>
                <w:color w:val="auto"/>
              </w:rPr>
              <w:t>Prorate %</w:t>
            </w: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August, September, October</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November, December, January</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February, March, April</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May, June, July</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Internal Promotions</w:t>
      </w:r>
    </w:p>
    <w:p>
      <w:pPr>
        <w:spacing w:after="0" w:line="138" w:lineRule="exact"/>
        <w:rPr>
          <w:sz w:val="20"/>
          <w:szCs w:val="20"/>
          <w:color w:val="auto"/>
        </w:rPr>
      </w:pPr>
    </w:p>
    <w:p>
      <w:pPr>
        <w:jc w:val="both"/>
        <w:ind w:right="20"/>
        <w:spacing w:after="0" w:line="371" w:lineRule="auto"/>
        <w:rPr>
          <w:sz w:val="20"/>
          <w:szCs w:val="20"/>
          <w:color w:val="auto"/>
        </w:rPr>
      </w:pPr>
      <w:r>
        <w:rPr>
          <w:rFonts w:ascii="Arial" w:cs="Arial" w:eastAsia="Arial" w:hAnsi="Arial"/>
          <w:sz w:val="21"/>
          <w:szCs w:val="21"/>
          <w:color w:val="auto"/>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54875" cy="1020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020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Example of Prorated Bonus due to Promotion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6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4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 of Days</w:t>
            </w:r>
          </w:p>
        </w:tc>
        <w:tc>
          <w:tcPr>
            <w:tcW w:w="148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Prorated</w:t>
            </w:r>
          </w:p>
        </w:tc>
      </w:tr>
      <w:tr>
        <w:trPr>
          <w:trHeight w:val="250"/>
        </w:trPr>
        <w:tc>
          <w:tcPr>
            <w:tcW w:w="1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Role</w:t>
            </w:r>
          </w:p>
        </w:tc>
        <w:tc>
          <w:tcPr>
            <w:tcW w:w="15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Base Salary</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Target %</w:t>
            </w:r>
          </w:p>
        </w:tc>
        <w:tc>
          <w:tcPr>
            <w:tcW w:w="148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Target $</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Funding %</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Rating</w:t>
            </w:r>
          </w:p>
        </w:tc>
        <w:tc>
          <w:tcPr>
            <w:tcW w:w="14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In Role</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Payout</w:t>
            </w:r>
          </w:p>
        </w:tc>
      </w:tr>
      <w:tr>
        <w:trPr>
          <w:trHeight w:val="250"/>
        </w:trPr>
        <w:tc>
          <w:tcPr>
            <w:tcW w:w="1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42.5%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$106,250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auto"/>
              <w:right w:val="single" w:sz="8" w:color="auto"/>
            </w:tcBorders>
          </w:tcPr>
          <w:p>
            <w:pPr>
              <w:jc w:val="right"/>
              <w:ind w:right="554"/>
              <w:spacing w:after="0"/>
              <w:rPr>
                <w:sz w:val="20"/>
                <w:szCs w:val="20"/>
                <w:color w:val="auto"/>
              </w:rPr>
            </w:pPr>
            <w:r>
              <w:rPr>
                <w:rFonts w:ascii="Arial" w:cs="Arial" w:eastAsia="Arial" w:hAnsi="Arial"/>
                <w:sz w:val="18"/>
                <w:szCs w:val="18"/>
                <w:color w:val="auto"/>
              </w:rPr>
              <w:t>92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$26,781</w:t>
            </w:r>
          </w:p>
        </w:tc>
      </w:tr>
      <w:tr>
        <w:trPr>
          <w:trHeight w:val="250"/>
        </w:trPr>
        <w:tc>
          <w:tcPr>
            <w:tcW w:w="1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35.0%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$78,750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color w:val="auto"/>
              </w:rPr>
              <w:t>273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$58,901</w:t>
            </w:r>
          </w:p>
        </w:tc>
      </w:tr>
      <w:tr>
        <w:trPr>
          <w:trHeight w:val="250"/>
        </w:trPr>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99"/>
              </w:rPr>
              <w:t>Final Amount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$85,682</w:t>
            </w:r>
          </w:p>
        </w:tc>
      </w:tr>
    </w:tbl>
    <w:p>
      <w:pPr>
        <w:sectPr>
          <w:pgSz w:w="11900" w:h="16838" w:orient="portrait"/>
          <w:cols w:equalWidth="0" w:num="1">
            <w:col w:w="11440"/>
          </w:cols>
          <w:pgMar w:left="240" w:top="660" w:right="21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Pro-Ration for Leave of Absence</w:t>
      </w:r>
    </w:p>
    <w:p>
      <w:pPr>
        <w:spacing w:after="0" w:line="138"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Individual incentive determinations for employees who have a paid or unpaid leave of absence (this does not include vacation) in excess of one month during the Plan Year will be prorated to reflect the time on leave.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Payouts</w:t>
      </w:r>
    </w:p>
    <w:p>
      <w:pPr>
        <w:spacing w:after="0" w:line="84" w:lineRule="exact"/>
        <w:rPr>
          <w:sz w:val="20"/>
          <w:szCs w:val="20"/>
          <w:color w:val="auto"/>
        </w:rPr>
      </w:pPr>
    </w:p>
    <w:p>
      <w:pPr>
        <w:jc w:val="both"/>
        <w:spacing w:after="0" w:line="368" w:lineRule="auto"/>
        <w:rPr>
          <w:sz w:val="20"/>
          <w:szCs w:val="20"/>
          <w:color w:val="auto"/>
        </w:rPr>
      </w:pPr>
      <w:r>
        <w:rPr>
          <w:rFonts w:ascii="Arial" w:cs="Arial" w:eastAsia="Arial" w:hAnsi="Arial"/>
          <w:sz w:val="21"/>
          <w:szCs w:val="21"/>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138" w:lineRule="exact"/>
        <w:rPr>
          <w:sz w:val="20"/>
          <w:szCs w:val="20"/>
          <w:color w:val="auto"/>
        </w:rPr>
      </w:pPr>
    </w:p>
    <w:p>
      <w:pPr>
        <w:jc w:val="both"/>
        <w:spacing w:after="0" w:line="365" w:lineRule="auto"/>
        <w:rPr>
          <w:sz w:val="20"/>
          <w:szCs w:val="20"/>
          <w:color w:val="auto"/>
        </w:rPr>
      </w:pPr>
      <w:r>
        <w:rPr>
          <w:rFonts w:ascii="Arial" w:cs="Arial" w:eastAsia="Arial" w:hAnsi="Arial"/>
          <w:sz w:val="21"/>
          <w:szCs w:val="21"/>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 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spacing w:after="0" w:line="198"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If an employee terminates employment and is subsequently rehired, eligibility under this Plan restarts with the employee’s rehire date.</w:t>
      </w:r>
    </w:p>
    <w:p>
      <w:pPr>
        <w:sectPr>
          <w:pgSz w:w="11900" w:h="16838" w:orient="portrait"/>
          <w:cols w:equalWidth="0" w:num="1">
            <w:col w:w="11420"/>
          </w:cols>
          <w:pgMar w:left="240" w:top="634"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Material Restatement of Financial Results</w:t>
      </w:r>
    </w:p>
    <w:p>
      <w:pPr>
        <w:spacing w:after="0" w:line="138" w:lineRule="exact"/>
        <w:rPr>
          <w:sz w:val="20"/>
          <w:szCs w:val="20"/>
          <w:color w:val="auto"/>
        </w:rPr>
      </w:pPr>
    </w:p>
    <w:p>
      <w:pPr>
        <w:jc w:val="both"/>
        <w:spacing w:after="0" w:line="346" w:lineRule="auto"/>
        <w:rPr>
          <w:sz w:val="20"/>
          <w:szCs w:val="20"/>
          <w:color w:val="auto"/>
        </w:rPr>
      </w:pPr>
      <w:r>
        <w:rPr>
          <w:rFonts w:ascii="Arial" w:cs="Arial" w:eastAsia="Arial" w:hAnsi="Arial"/>
          <w:sz w:val="22"/>
          <w:szCs w:val="22"/>
          <w:color w:val="auto"/>
        </w:rPr>
        <w:t>In the event that the Board determines there has been a material restatement of publicly issued financial results from those previously issued to the public ,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 Modification and Discontinuance</w:t>
      </w:r>
    </w:p>
    <w:p>
      <w:pPr>
        <w:spacing w:after="0" w:line="84" w:lineRule="exact"/>
        <w:rPr>
          <w:sz w:val="20"/>
          <w:szCs w:val="20"/>
          <w:color w:val="auto"/>
        </w:rPr>
      </w:pPr>
    </w:p>
    <w:p>
      <w:pPr>
        <w:jc w:val="both"/>
        <w:spacing w:after="0" w:line="347" w:lineRule="auto"/>
        <w:rPr>
          <w:sz w:val="20"/>
          <w:szCs w:val="20"/>
          <w:color w:val="auto"/>
        </w:rPr>
      </w:pPr>
      <w:r>
        <w:rPr>
          <w:rFonts w:ascii="Arial" w:cs="Arial" w:eastAsia="Arial" w:hAnsi="Arial"/>
          <w:sz w:val="22"/>
          <w:szCs w:val="22"/>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spacing w:after="0" w:line="305"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Continued Employment</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420"/>
          </w:cols>
          <w:pgMar w:left="240" w:top="63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u w:val="single" w:color="auto"/>
          <w:color w:val="auto"/>
        </w:rPr>
        <w:t>Exhibit A - EBITDA Funding Matrix</w:t>
      </w:r>
    </w:p>
    <w:p>
      <w:pPr>
        <w:spacing w:after="0" w:line="200" w:lineRule="exact"/>
        <w:rPr>
          <w:sz w:val="20"/>
          <w:szCs w:val="20"/>
          <w:color w:val="auto"/>
        </w:rPr>
      </w:pPr>
    </w:p>
    <w:p>
      <w:pPr>
        <w:spacing w:after="0" w:line="333"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3460" w:type="dxa"/>
            <w:vAlign w:val="bottom"/>
            <w:tcBorders>
              <w:top w:val="single" w:sz="8" w:color="auto"/>
              <w:left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Percent of the EBITDA Target</w:t>
            </w:r>
          </w:p>
        </w:tc>
        <w:tc>
          <w:tcPr>
            <w:tcW w:w="3080" w:type="dxa"/>
            <w:vAlign w:val="bottom"/>
            <w:tcBorders>
              <w:top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Percent of Incentive Target</w:t>
            </w:r>
          </w:p>
        </w:tc>
      </w:tr>
      <w:tr>
        <w:trPr>
          <w:trHeight w:val="266"/>
        </w:trPr>
        <w:tc>
          <w:tcPr>
            <w:tcW w:w="3460" w:type="dxa"/>
            <w:vAlign w:val="bottom"/>
            <w:tcBorders>
              <w:left w:val="single" w:sz="8" w:color="auto"/>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Obtained for the Division</w:t>
            </w:r>
          </w:p>
        </w:tc>
        <w:tc>
          <w:tcPr>
            <w:tcW w:w="308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7"/>
              </w:rPr>
              <w:t>Funded- Grade 33+</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&lt;80%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80%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15.00%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17.00%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18.00%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21.00%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22.00%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23.00%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24.00%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90%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25.00%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30.00%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35.00%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40.00%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45.00%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95%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50.00%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60.00%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70.00%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80.00%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90.00%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100.00%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107.50%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115.00%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122.50%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137.50%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145.00%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152.50%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160.00%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167.50%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110%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175.00%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177.50%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112%</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180.00%</w:t>
            </w:r>
          </w:p>
        </w:tc>
      </w:tr>
    </w:tbl>
    <w:p>
      <w:pPr>
        <w:sectPr>
          <w:pgSz w:w="11900" w:h="16838" w:orient="portrait"/>
          <w:cols w:equalWidth="0" w:num="1">
            <w:col w:w="9019"/>
          </w:cols>
          <w:pgMar w:left="1440" w:top="636"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5"/>
          <w:szCs w:val="25"/>
          <w:b w:val="1"/>
          <w:bCs w:val="1"/>
          <w:u w:val="single" w:color="auto"/>
          <w:color w:val="auto"/>
        </w:rPr>
        <w:t>EBITDA Funding Matrix - continued</w:t>
      </w:r>
    </w:p>
    <w:p>
      <w:pPr>
        <w:spacing w:after="0" w:line="331"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3460" w:type="dxa"/>
            <w:vAlign w:val="bottom"/>
            <w:tcBorders>
              <w:top w:val="single" w:sz="8" w:color="auto"/>
              <w:left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Percent of the EBITDA Target</w:t>
            </w:r>
          </w:p>
        </w:tc>
        <w:tc>
          <w:tcPr>
            <w:tcW w:w="3080" w:type="dxa"/>
            <w:vAlign w:val="bottom"/>
            <w:tcBorders>
              <w:top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Percent of Incentive Target</w:t>
            </w:r>
          </w:p>
        </w:tc>
      </w:tr>
      <w:tr>
        <w:trPr>
          <w:trHeight w:val="266"/>
        </w:trPr>
        <w:tc>
          <w:tcPr>
            <w:tcW w:w="3460" w:type="dxa"/>
            <w:vAlign w:val="bottom"/>
            <w:tcBorders>
              <w:left w:val="single" w:sz="8" w:color="auto"/>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8"/>
              </w:rPr>
              <w:t>Obtained for the Division</w:t>
            </w:r>
          </w:p>
        </w:tc>
        <w:tc>
          <w:tcPr>
            <w:tcW w:w="308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7"/>
              </w:rPr>
              <w:t>Funded- Grade 33+</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113%</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182.50%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185.00%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115%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187.50%</w:t>
            </w:r>
          </w:p>
        </w:tc>
      </w:tr>
      <w:tr>
        <w:trPr>
          <w:trHeight w:val="26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116%</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190.00%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192.50%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118%</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195.00%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119%</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197.50%</w:t>
            </w:r>
          </w:p>
        </w:tc>
      </w:tr>
      <w:tr>
        <w:trPr>
          <w:trHeight w:val="26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&gt;=120%</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200.00%</w:t>
            </w:r>
          </w:p>
        </w:tc>
      </w:tr>
    </w:tbl>
    <w:p>
      <w:pPr>
        <w:sectPr>
          <w:pgSz w:w="11900" w:h="16838" w:orient="portrait"/>
          <w:cols w:equalWidth="0" w:num="1">
            <w:col w:w="9019"/>
          </w:cols>
          <w:pgMar w:left="1440" w:top="568" w:right="1440" w:bottom="1440" w:gutter="0" w:footer="0" w:header="0"/>
        </w:sectPr>
      </w:pPr>
    </w:p>
    <w:bookmarkStart w:id="46" w:name="page47"/>
    <w:bookmarkEnd w:id="46"/>
    <w:p>
      <w:pPr>
        <w:jc w:val="center"/>
        <w:ind w:right="-239"/>
        <w:spacing w:after="0"/>
        <w:rPr>
          <w:sz w:val="20"/>
          <w:szCs w:val="20"/>
          <w:color w:val="auto"/>
        </w:rPr>
      </w:pPr>
      <w:r>
        <w:rPr>
          <w:rFonts w:ascii="Arial" w:cs="Arial" w:eastAsia="Arial" w:hAnsi="Arial"/>
          <w:sz w:val="25"/>
          <w:szCs w:val="25"/>
          <w:b w:val="1"/>
          <w:bCs w:val="1"/>
          <w:u w:val="single" w:color="auto"/>
          <w:color w:val="auto"/>
        </w:rPr>
        <w:t>Exhibit B</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25"/>
          <w:szCs w:val="25"/>
          <w:color w:val="auto"/>
        </w:rPr>
        <w:t>Performance Rating Variable</w:t>
      </w:r>
    </w:p>
    <w:p>
      <w:pPr>
        <w:spacing w:after="0" w:line="200" w:lineRule="exact"/>
        <w:rPr>
          <w:sz w:val="20"/>
          <w:szCs w:val="20"/>
          <w:color w:val="auto"/>
        </w:rPr>
      </w:pPr>
    </w:p>
    <w:p>
      <w:pPr>
        <w:spacing w:after="0" w:line="255" w:lineRule="exact"/>
        <w:rPr>
          <w:sz w:val="20"/>
          <w:szCs w:val="20"/>
          <w:color w:val="auto"/>
        </w:rPr>
      </w:pPr>
    </w:p>
    <w:p>
      <w:pPr>
        <w:spacing w:after="0" w:line="374" w:lineRule="auto"/>
        <w:rPr>
          <w:sz w:val="20"/>
          <w:szCs w:val="20"/>
          <w:color w:val="auto"/>
        </w:rPr>
      </w:pPr>
      <w:r>
        <w:rPr>
          <w:rFonts w:ascii="Arial" w:cs="Arial" w:eastAsia="Arial" w:hAnsi="Arial"/>
          <w:sz w:val="25"/>
          <w:szCs w:val="25"/>
          <w:color w:val="auto"/>
        </w:rPr>
        <w:t>The following table illustrates how an individual’s performance rating affects the overall Management 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219075</wp:posOffset>
            </wp:positionV>
            <wp:extent cx="5720080" cy="1260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0080" cy="1260475"/>
                    </a:xfrm>
                    <a:prstGeom prst="rect">
                      <a:avLst/>
                    </a:prstGeom>
                    <a:noFill/>
                  </pic:spPr>
                </pic:pic>
              </a:graphicData>
            </a:graphic>
          </wp:anchor>
        </w:drawing>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Performance Rating Chart</w:t>
      </w:r>
    </w:p>
    <w:p>
      <w:pPr>
        <w:spacing w:after="0" w:line="32" w:lineRule="exact"/>
        <w:rPr>
          <w:sz w:val="20"/>
          <w:szCs w:val="20"/>
          <w:color w:val="auto"/>
        </w:rPr>
      </w:pPr>
    </w:p>
    <w:tbl>
      <w:tblPr>
        <w:tblLayout w:type="fixed"/>
        <w:tblInd w:w="1220" w:type="dxa"/>
        <w:tblCellMar>
          <w:top w:w="0" w:type="dxa"/>
          <w:left w:w="0" w:type="dxa"/>
          <w:bottom w:w="0" w:type="dxa"/>
          <w:right w:w="0" w:type="dxa"/>
        </w:tblCellMar>
      </w:tblPr>
      <w:tr>
        <w:trPr>
          <w:trHeight w:val="273"/>
        </w:trPr>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Performance Rating</w:t>
            </w:r>
          </w:p>
        </w:tc>
        <w:tc>
          <w:tcPr>
            <w:tcW w:w="468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20"/>
                <w:szCs w:val="20"/>
                <w:b w:val="1"/>
                <w:bCs w:val="1"/>
                <w:color w:val="auto"/>
              </w:rPr>
              <w:t>% Incentive Influenced</w:t>
            </w:r>
          </w:p>
        </w:tc>
      </w:tr>
      <w:tr>
        <w:trPr>
          <w:trHeight w:val="263"/>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Greatly 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130%</w:t>
            </w:r>
          </w:p>
        </w:tc>
      </w:tr>
      <w:tr>
        <w:trPr>
          <w:trHeight w:val="264"/>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115%</w:t>
            </w:r>
          </w:p>
        </w:tc>
      </w:tr>
      <w:tr>
        <w:trPr>
          <w:trHeight w:val="264"/>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Achieves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100%</w:t>
            </w:r>
          </w:p>
        </w:tc>
      </w:tr>
      <w:tr>
        <w:trPr>
          <w:trHeight w:val="264"/>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Meets Most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70%</w:t>
            </w:r>
          </w:p>
        </w:tc>
      </w:tr>
      <w:tr>
        <w:trPr>
          <w:trHeight w:val="264"/>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Meets Some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bl>
    <w:p>
      <w:pPr>
        <w:sectPr>
          <w:pgSz w:w="11900" w:h="16838" w:orient="portrait"/>
          <w:cols w:equalWidth="0" w:num="1">
            <w:col w:w="11180"/>
          </w:cols>
          <w:pgMar w:left="240" w:top="636" w:right="4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SEVENTH AMENDED AND RESTATED CREDIT AGREEMENT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FIRST AMENDMENT TO SEVENTH AMENDED AND RESTATED CREDIT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is dated as of December 4, 2015, but effective as of the Effective Date (hereinafter defined), among </w:t>
      </w:r>
      <w:r>
        <w:rPr>
          <w:rFonts w:ascii="Arial" w:cs="Arial" w:eastAsia="Arial" w:hAnsi="Arial"/>
          <w:sz w:val="20"/>
          <w:szCs w:val="20"/>
          <w:b w:val="1"/>
          <w:bCs w:val="1"/>
          <w:color w:val="auto"/>
        </w:rPr>
        <w:t>VAIL HOLDINGS, INC.</w:t>
      </w:r>
      <w:r>
        <w:rPr>
          <w:rFonts w:ascii="Arial" w:cs="Arial" w:eastAsia="Arial" w:hAnsi="Arial"/>
          <w:sz w:val="20"/>
          <w:szCs w:val="20"/>
          <w:color w:val="auto"/>
        </w:rPr>
        <w:t>, a Colorado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the </w:t>
      </w:r>
      <w:r>
        <w:rPr>
          <w:rFonts w:ascii="Arial" w:cs="Arial" w:eastAsia="Arial" w:hAnsi="Arial"/>
          <w:sz w:val="20"/>
          <w:szCs w:val="20"/>
          <w:b w:val="1"/>
          <w:bCs w:val="1"/>
          <w:color w:val="auto"/>
        </w:rPr>
        <w:t>Lenders</w:t>
      </w:r>
      <w:r>
        <w:rPr>
          <w:rFonts w:ascii="Arial" w:cs="Arial" w:eastAsia="Arial" w:hAnsi="Arial"/>
          <w:sz w:val="20"/>
          <w:szCs w:val="20"/>
          <w:color w:val="auto"/>
        </w:rPr>
        <w:t xml:space="preserve"> (as defined in the Credit Agreement referenced below) party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(hereinafter defined).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22" w:lineRule="exact"/>
        <w:rPr>
          <w:sz w:val="20"/>
          <w:szCs w:val="20"/>
          <w:color w:val="auto"/>
        </w:rPr>
      </w:pPr>
    </w:p>
    <w:p>
      <w:pPr>
        <w:jc w:val="both"/>
        <w:ind w:firstLine="656"/>
        <w:spacing w:after="0" w:line="244" w:lineRule="auto"/>
        <w:tabs>
          <w:tab w:leader="none" w:pos="103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has entered into that certain Seventh Amended and Restated Credit Agreement dated as of May 1, 2015, with Bank of America, N.A., as Administrative Agent (in such capacity,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certain other agents and lenders party thereto (as amended hereby, and as further amended, restated,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capitalized terms used but not defined herein have the meanings set forth in the Credit Agreement), providing for revolving credit loans, letters of credit, and swing line loans.</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0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The Company has requested that </w:t>
      </w:r>
      <w:r>
        <w:rPr>
          <w:rFonts w:ascii="Arial" w:cs="Arial" w:eastAsia="Arial" w:hAnsi="Arial"/>
          <w:sz w:val="20"/>
          <w:szCs w:val="20"/>
          <w:i w:val="1"/>
          <w:iCs w:val="1"/>
          <w:color w:val="auto"/>
        </w:rPr>
        <w:t>Section 10.9(d)(ii)</w:t>
      </w:r>
      <w:r>
        <w:rPr>
          <w:rFonts w:ascii="Arial" w:cs="Arial" w:eastAsia="Arial" w:hAnsi="Arial"/>
          <w:sz w:val="20"/>
          <w:szCs w:val="20"/>
          <w:color w:val="auto"/>
        </w:rPr>
        <w:t xml:space="preserve"> of the Credit Agreement be amended to allow the Company to make unlimited Distributions if it has Availability and Unrestricted Cash in an aggregate amount of at least $75,000,000 and the Total Leverage Ratio is less than 3.75 to 1.00.</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Subject to the terms and conditions set forth herein, the Company, the Required Lenders party hereto, the Guarantors (by execution of the attached Guarantors’ Consent and Agreement), and the Administrative Agent agree as follows:</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to the Credit Agreement</w:t>
      </w:r>
      <w:r>
        <w:rPr>
          <w:rFonts w:ascii="Arial" w:cs="Arial" w:eastAsia="Arial" w:hAnsi="Arial"/>
          <w:sz w:val="20"/>
          <w:szCs w:val="20"/>
          <w:color w:val="auto"/>
        </w:rPr>
        <w:t>. Effective as of the Effective Date, the parties hereto agree that:</w:t>
      </w:r>
    </w:p>
    <w:p>
      <w:pPr>
        <w:spacing w:after="0" w:line="22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u w:val="single" w:color="auto"/>
          <w:color w:val="auto"/>
        </w:rPr>
        <w:t>Modification of Section 10.9(d)(ii)</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Section 10.9(d)(ii)</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Credit Agreement is amended and restated as follows:</w:t>
      </w:r>
    </w:p>
    <w:p>
      <w:pPr>
        <w:spacing w:after="0" w:line="216"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 xml:space="preserve">“(ii) if (A) no Default or Potential Default exists or arises, (B) Borrower has delivered to Administrative Agent a certificate reflecting Availability and Unrestricted Cash in an aggregate amount of </w:t>
      </w:r>
      <w:r>
        <w:rPr>
          <w:rFonts w:ascii="Arial" w:cs="Arial" w:eastAsia="Arial" w:hAnsi="Arial"/>
          <w:sz w:val="18"/>
          <w:szCs w:val="18"/>
          <w:i w:val="1"/>
          <w:iCs w:val="1"/>
          <w:color w:val="auto"/>
        </w:rPr>
        <w:t>at least</w:t>
      </w:r>
      <w:r>
        <w:rPr>
          <w:rFonts w:ascii="Arial" w:cs="Arial" w:eastAsia="Arial" w:hAnsi="Arial"/>
          <w:sz w:val="18"/>
          <w:szCs w:val="18"/>
          <w:color w:val="auto"/>
        </w:rPr>
        <w:t xml:space="preserve"> $75,000,000 immediately after giving effect to such Distribution, and (C) the Total Leverage Ratio is less than 3.75 to 1.00, then VRI may make Distributions in an unlimited amount; and”</w:t>
      </w:r>
    </w:p>
    <w:p>
      <w:pPr>
        <w:spacing w:after="0" w:line="152" w:lineRule="exact"/>
        <w:rPr>
          <w:sz w:val="20"/>
          <w:szCs w:val="20"/>
          <w:color w:val="auto"/>
        </w:rPr>
      </w:pPr>
    </w:p>
    <w:p>
      <w:pPr>
        <w:ind w:right="100" w:firstLine="656"/>
        <w:spacing w:after="0" w:line="260" w:lineRule="auto"/>
        <w:tabs>
          <w:tab w:leader="none" w:pos="1059"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Modification of Exhibit D to the Credit Agreement</w:t>
      </w:r>
      <w:r>
        <w:rPr>
          <w:rFonts w:ascii="Arial" w:cs="Arial" w:eastAsia="Arial" w:hAnsi="Arial"/>
          <w:sz w:val="20"/>
          <w:szCs w:val="20"/>
          <w:color w:val="auto"/>
        </w:rPr>
        <w:t xml:space="preserve">. </w:t>
      </w:r>
      <w:r>
        <w:rPr>
          <w:rFonts w:ascii="Arial" w:cs="Arial" w:eastAsia="Arial" w:hAnsi="Arial"/>
          <w:sz w:val="20"/>
          <w:szCs w:val="20"/>
          <w:i w:val="1"/>
          <w:iCs w:val="1"/>
          <w:color w:val="auto"/>
        </w:rPr>
        <w:t>Sections 10.8(t)</w:t>
      </w:r>
      <w:r>
        <w:rPr>
          <w:rFonts w:ascii="Arial" w:cs="Arial" w:eastAsia="Arial" w:hAnsi="Arial"/>
          <w:sz w:val="20"/>
          <w:szCs w:val="20"/>
          <w:color w:val="auto"/>
        </w:rPr>
        <w:t xml:space="preserve"> and </w:t>
      </w:r>
      <w:r>
        <w:rPr>
          <w:rFonts w:ascii="Arial" w:cs="Arial" w:eastAsia="Arial" w:hAnsi="Arial"/>
          <w:sz w:val="20"/>
          <w:szCs w:val="20"/>
          <w:i w:val="1"/>
          <w:iCs w:val="1"/>
          <w:color w:val="auto"/>
        </w:rPr>
        <w:t>10.9(d)</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(Form of Compliance Certificate) are amended and restated as set forth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hereto.</w:t>
      </w:r>
    </w:p>
    <w:p>
      <w:pPr>
        <w:spacing w:after="0" w:line="170" w:lineRule="exact"/>
        <w:rPr>
          <w:rFonts w:ascii="Arial" w:cs="Arial" w:eastAsia="Arial" w:hAnsi="Arial"/>
          <w:sz w:val="20"/>
          <w:szCs w:val="20"/>
          <w:color w:val="auto"/>
        </w:rPr>
      </w:pPr>
    </w:p>
    <w:p>
      <w:pPr>
        <w:jc w:val="both"/>
        <w:ind w:firstLine="8"/>
        <w:spacing w:after="0" w:line="271" w:lineRule="auto"/>
        <w:tabs>
          <w:tab w:leader="none" w:pos="409"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As a material inducement to the Lenders and the Administrative Agent to execute and deliver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the Company represents and warrants to the Lenders and the Administrative Agent (with the knowledge and intent that Lenders party hereto are relying upon the same in entering into this Amendment) that: (a) the Company and the 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Companies; (b) upon execution and delivery by the Company, the Guarantors, the Administrative Agent, and the Lenders party hereto, this Amendment will constitute the legal and binding obligation of each of the Company, and the Guarantors, enforceable against such entities in accordance with the terms of this Amendment,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that enforceability may be limited by general principles of equity or by bankruptcy or insolvency laws or similar laws affecting creditors’ rights generally; (c) after giving effect to this Amendment, all representations and warranties in the Loan Papers are true and correct in all material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0"/>
          <w:szCs w:val="20"/>
          <w:color w:val="auto"/>
        </w:rPr>
        <w:t xml:space="preserve">respects as though made on the date hereof,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to the extent that any of them speak to a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180" w:lineRule="exact"/>
        <w:rPr>
          <w:sz w:val="20"/>
          <w:szCs w:val="20"/>
          <w:color w:val="auto"/>
        </w:rPr>
      </w:pPr>
    </w:p>
    <w:p>
      <w:pPr>
        <w:ind w:right="20" w:firstLine="8"/>
        <w:spacing w:after="0" w:line="267" w:lineRule="auto"/>
        <w:tabs>
          <w:tab w:leader="none" w:pos="49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Precedent to Effective Date</w:t>
      </w:r>
      <w:r>
        <w:rPr>
          <w:rFonts w:ascii="Arial" w:cs="Arial" w:eastAsia="Arial" w:hAnsi="Arial"/>
          <w:sz w:val="20"/>
          <w:szCs w:val="20"/>
          <w:color w:val="auto"/>
        </w:rPr>
        <w:t>. This Amendment shall be effective on the date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upon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receives each of the following items:</w:t>
      </w:r>
    </w:p>
    <w:p>
      <w:pPr>
        <w:spacing w:after="0" w:line="169" w:lineRule="exact"/>
        <w:rPr>
          <w:rFonts w:ascii="Arial" w:cs="Arial" w:eastAsia="Arial" w:hAnsi="Arial"/>
          <w:sz w:val="20"/>
          <w:szCs w:val="20"/>
          <w:b w:val="1"/>
          <w:bCs w:val="1"/>
          <w:color w:val="auto"/>
        </w:rPr>
      </w:pPr>
    </w:p>
    <w:p>
      <w:pPr>
        <w:ind w:left="1060" w:hanging="404"/>
        <w:spacing w:after="0"/>
        <w:tabs>
          <w:tab w:leader="none" w:pos="10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counterparts of this Amendment executed by the Company, the Administrative Agent, and the Required Lenders; and</w:t>
      </w:r>
    </w:p>
    <w:p>
      <w:pPr>
        <w:spacing w:after="0" w:line="227" w:lineRule="exact"/>
        <w:rPr>
          <w:rFonts w:ascii="Arial" w:cs="Arial" w:eastAsia="Arial" w:hAnsi="Arial"/>
          <w:sz w:val="19"/>
          <w:szCs w:val="19"/>
          <w:color w:val="auto"/>
        </w:rPr>
      </w:pPr>
    </w:p>
    <w:p>
      <w:pPr>
        <w:ind w:left="1060" w:hanging="404"/>
        <w:spacing w:after="0"/>
        <w:tabs>
          <w:tab w:leader="none" w:pos="10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Guarantors’ Consent and Agreement executed by each Guarantor.</w:t>
      </w:r>
    </w:p>
    <w:p>
      <w:pPr>
        <w:spacing w:after="0" w:line="223" w:lineRule="exact"/>
        <w:rPr>
          <w:rFonts w:ascii="Arial" w:cs="Arial" w:eastAsia="Arial" w:hAnsi="Arial"/>
          <w:sz w:val="20"/>
          <w:szCs w:val="20"/>
          <w:color w:val="auto"/>
        </w:rPr>
      </w:pPr>
    </w:p>
    <w:p>
      <w:pPr>
        <w:jc w:val="both"/>
        <w:ind w:firstLine="8"/>
        <w:spacing w:after="0" w:line="253" w:lineRule="auto"/>
        <w:tabs>
          <w:tab w:leader="none" w:pos="32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color w:val="auto"/>
        </w:rPr>
        <w:t>. The Company shall pay all reasonable out-of-pocket fees and expenses paid or incurred by the Administrative Agent incident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including, without limitation, the reasonable fees and expenses of the Administrative Agent’s counsel in connection with the negotiation, preparation, delivery, and execution of this Amendment and any related documents.</w:t>
      </w:r>
    </w:p>
    <w:p>
      <w:pPr>
        <w:spacing w:after="0" w:line="177" w:lineRule="exact"/>
        <w:rPr>
          <w:rFonts w:ascii="Arial" w:cs="Arial" w:eastAsia="Arial" w:hAnsi="Arial"/>
          <w:sz w:val="20"/>
          <w:szCs w:val="20"/>
          <w:b w:val="1"/>
          <w:bCs w:val="1"/>
          <w:color w:val="auto"/>
        </w:rPr>
      </w:pPr>
    </w:p>
    <w:p>
      <w:pPr>
        <w:jc w:val="both"/>
        <w:ind w:firstLine="8"/>
        <w:spacing w:after="0" w:line="259" w:lineRule="auto"/>
        <w:tabs>
          <w:tab w:leader="none" w:pos="369"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Ratifications</w:t>
      </w:r>
      <w:r>
        <w:rPr>
          <w:rFonts w:ascii="Arial" w:cs="Arial" w:eastAsia="Arial" w:hAnsi="Arial"/>
          <w:sz w:val="19"/>
          <w:szCs w:val="19"/>
          <w:color w:val="auto"/>
        </w:rPr>
        <w:t>. The Company and each Guarantor (by executing the Guarantors’ Consent and Agreement attached hereto) (a) ratifies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all 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 obligations to Administrative Agent and the Lenders; and (c) 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72" w:lineRule="exact"/>
        <w:rPr>
          <w:rFonts w:ascii="Arial" w:cs="Arial" w:eastAsia="Arial" w:hAnsi="Arial"/>
          <w:sz w:val="19"/>
          <w:szCs w:val="19"/>
          <w:b w:val="1"/>
          <w:bCs w:val="1"/>
          <w:color w:val="auto"/>
        </w:rPr>
      </w:pPr>
    </w:p>
    <w:p>
      <w:pPr>
        <w:jc w:val="both"/>
        <w:ind w:firstLine="8"/>
        <w:spacing w:after="0" w:line="313" w:lineRule="auto"/>
        <w:tabs>
          <w:tab w:leader="none" w:pos="328"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Unless stated otherwise herein, (a) the singular number includes the plural,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vice versa</w:t>
      </w:r>
      <w:r>
        <w:rPr>
          <w:rFonts w:ascii="Arial" w:cs="Arial" w:eastAsia="Arial" w:hAnsi="Arial"/>
          <w:sz w:val="16"/>
          <w:szCs w:val="16"/>
          <w:color w:val="auto"/>
        </w:rPr>
        <w:t>, and words of any gender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each other gender, in each case, as appropriate, (b) headings and captions shall not be construed in interpreting provisions of this Amendment,</w:t>
      </w:r>
    </w:p>
    <w:p>
      <w:pPr>
        <w:spacing w:after="0" w:line="1" w:lineRule="exact"/>
        <w:rPr>
          <w:rFonts w:ascii="Arial" w:cs="Arial" w:eastAsia="Arial" w:hAnsi="Arial"/>
          <w:sz w:val="16"/>
          <w:szCs w:val="16"/>
          <w:b w:val="1"/>
          <w:bCs w:val="1"/>
          <w:color w:val="auto"/>
        </w:rPr>
      </w:pPr>
    </w:p>
    <w:p>
      <w:pPr>
        <w:jc w:val="both"/>
        <w:spacing w:after="0" w:line="308" w:lineRule="auto"/>
        <w:rPr>
          <w:rFonts w:ascii="Arial" w:cs="Arial" w:eastAsia="Arial" w:hAnsi="Arial"/>
          <w:sz w:val="16"/>
          <w:szCs w:val="16"/>
          <w:b w:val="1"/>
          <w:bCs w:val="1"/>
          <w:color w:val="auto"/>
        </w:rPr>
      </w:pPr>
      <w:r>
        <w:rPr>
          <w:rFonts w:ascii="Arial" w:cs="Arial" w:eastAsia="Arial" w:hAnsi="Arial"/>
          <w:sz w:val="16"/>
          <w:szCs w:val="16"/>
          <w:color w:val="auto"/>
        </w:rPr>
        <w:t>(c)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(f) this Amendment is a “</w:t>
      </w:r>
      <w:r>
        <w:rPr>
          <w:rFonts w:ascii="Arial" w:cs="Arial" w:eastAsia="Arial" w:hAnsi="Arial"/>
          <w:sz w:val="16"/>
          <w:szCs w:val="16"/>
          <w:i w:val="1"/>
          <w:iCs w:val="1"/>
          <w:color w:val="auto"/>
        </w:rPr>
        <w:t>Loan Paper</w:t>
      </w:r>
      <w:r>
        <w:rPr>
          <w:rFonts w:ascii="Arial" w:cs="Arial" w:eastAsia="Arial" w:hAnsi="Arial"/>
          <w:sz w:val="16"/>
          <w:szCs w:val="16"/>
          <w:color w:val="auto"/>
        </w:rPr>
        <w:t xml:space="preserve">” referred to in the Credit Agreement, and the provisions relating to Loan Papers in </w:t>
      </w:r>
      <w:r>
        <w:rPr>
          <w:rFonts w:ascii="Arial" w:cs="Arial" w:eastAsia="Arial" w:hAnsi="Arial"/>
          <w:sz w:val="16"/>
          <w:szCs w:val="16"/>
          <w:i w:val="1"/>
          <w:iCs w:val="1"/>
          <w:color w:val="auto"/>
        </w:rPr>
        <w:t>Section 15</w:t>
      </w:r>
      <w:r>
        <w:rPr>
          <w:rFonts w:ascii="Arial" w:cs="Arial" w:eastAsia="Arial" w:hAnsi="Arial"/>
          <w:sz w:val="16"/>
          <w:szCs w:val="16"/>
          <w:color w:val="auto"/>
        </w:rPr>
        <w:t xml:space="preserve"> of the Credit Agreement are incorporated herein by reference, (g)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141" w:lineRule="exact"/>
        <w:rPr>
          <w:rFonts w:ascii="Arial" w:cs="Arial" w:eastAsia="Arial" w:hAnsi="Arial"/>
          <w:sz w:val="16"/>
          <w:szCs w:val="16"/>
          <w:b w:val="1"/>
          <w:bCs w:val="1"/>
          <w:color w:val="auto"/>
        </w:rPr>
      </w:pPr>
    </w:p>
    <w:p>
      <w:pPr>
        <w:ind w:right="20" w:firstLine="8"/>
        <w:spacing w:after="0" w:line="267" w:lineRule="auto"/>
        <w:tabs>
          <w:tab w:leader="none" w:pos="32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This Amendment binds and inures to the benefit of the Company, the Guarantors, the Administrative Agent, the Lenders,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have executed this Amendment in multiple counterparts as of the date first above written.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49" w:name="page50"/>
    <w:bookmarkEnd w:id="49"/>
    <w:p>
      <w:pPr>
        <w:ind w:left="3340"/>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 as the Company</w:t>
      </w:r>
    </w:p>
    <w:p>
      <w:pPr>
        <w:spacing w:after="0" w:line="200" w:lineRule="exact"/>
        <w:rPr>
          <w:sz w:val="20"/>
          <w:szCs w:val="20"/>
          <w:color w:val="auto"/>
        </w:rPr>
      </w:pPr>
    </w:p>
    <w:p>
      <w:pPr>
        <w:spacing w:after="0" w:line="23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Michael Z. Barkin</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Michael Z. Barkin</w:t>
      </w:r>
    </w:p>
    <w:p>
      <w:pPr>
        <w:ind w:left="4000"/>
        <w:spacing w:after="0"/>
        <w:rPr>
          <w:sz w:val="20"/>
          <w:szCs w:val="20"/>
          <w:color w:val="auto"/>
        </w:rPr>
      </w:pPr>
      <w:r>
        <w:rPr>
          <w:rFonts w:ascii="Arial" w:cs="Arial" w:eastAsia="Arial" w:hAnsi="Arial"/>
          <w:sz w:val="19"/>
          <w:szCs w:val="19"/>
          <w:color w:val="auto"/>
        </w:rPr>
        <w:t>Title: Executive Vice President and</w:t>
      </w:r>
    </w:p>
    <w:p>
      <w:pPr>
        <w:spacing w:after="0" w:line="1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0" w:name="page51"/>
    <w:bookmarkEnd w:id="50"/>
    <w:p>
      <w:pPr>
        <w:ind w:left="334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McCauley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David McCauley</w:t>
      </w:r>
    </w:p>
    <w:p>
      <w:pPr>
        <w:ind w:left="4000"/>
        <w:spacing w:after="0"/>
        <w:rPr>
          <w:sz w:val="20"/>
          <w:szCs w:val="20"/>
          <w:color w:val="auto"/>
        </w:rPr>
      </w:pPr>
      <w:r>
        <w:rPr>
          <w:rFonts w:ascii="Arial" w:cs="Arial" w:eastAsia="Arial" w:hAnsi="Arial"/>
          <w:sz w:val="20"/>
          <w:szCs w:val="20"/>
          <w:color w:val="auto"/>
        </w:rPr>
        <w:t>Senior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1" w:name="page52"/>
    <w:bookmarkEnd w:id="51"/>
    <w:p>
      <w:pPr>
        <w:ind w:left="334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as an L/C Issuer, a Swing Line Lender, a Revolver Lender and a Term Loan Lender</w:t>
      </w:r>
    </w:p>
    <w:p>
      <w:pPr>
        <w:spacing w:after="0" w:line="200" w:lineRule="exact"/>
        <w:rPr>
          <w:sz w:val="20"/>
          <w:szCs w:val="20"/>
          <w:color w:val="auto"/>
        </w:rPr>
      </w:pPr>
    </w:p>
    <w:p>
      <w:pPr>
        <w:spacing w:after="0" w:line="262"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McCauley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David McCauley</w:t>
      </w:r>
    </w:p>
    <w:p>
      <w:pPr>
        <w:ind w:left="4000"/>
        <w:spacing w:after="0"/>
        <w:rPr>
          <w:sz w:val="20"/>
          <w:szCs w:val="20"/>
          <w:color w:val="auto"/>
        </w:rPr>
      </w:pPr>
      <w:r>
        <w:rPr>
          <w:rFonts w:ascii="Arial" w:cs="Arial" w:eastAsia="Arial" w:hAnsi="Arial"/>
          <w:sz w:val="20"/>
          <w:szCs w:val="20"/>
          <w:color w:val="auto"/>
        </w:rPr>
        <w:t>Senior Vice President</w:t>
      </w:r>
    </w:p>
    <w:p>
      <w:pPr>
        <w:spacing w:after="0" w:line="229"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960"/>
          </w:cols>
          <w:pgMar w:left="1440" w:top="805" w:right="499" w:bottom="1440" w:gutter="0" w:footer="0" w:header="0"/>
        </w:sectPr>
      </w:pPr>
    </w:p>
    <w:bookmarkStart w:id="52" w:name="page53"/>
    <w:bookmarkEnd w:id="52"/>
    <w:p>
      <w:pPr>
        <w:ind w:left="334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200" w:lineRule="exact"/>
        <w:rPr>
          <w:sz w:val="20"/>
          <w:szCs w:val="20"/>
          <w:color w:val="auto"/>
        </w:rPr>
      </w:pPr>
    </w:p>
    <w:p>
      <w:pPr>
        <w:spacing w:after="0" w:line="262" w:lineRule="exact"/>
        <w:rPr>
          <w:sz w:val="20"/>
          <w:szCs w:val="20"/>
          <w:color w:val="auto"/>
        </w:rPr>
      </w:pPr>
    </w:p>
    <w:p>
      <w:pPr>
        <w:ind w:left="334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Greg Blanchard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Greg Blanchard</w:t>
      </w:r>
    </w:p>
    <w:p>
      <w:pPr>
        <w:ind w:left="40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3" w:name="page54"/>
    <w:bookmarkEnd w:id="53"/>
    <w:p>
      <w:pPr>
        <w:ind w:left="3340" w:right="819"/>
        <w:spacing w:after="0" w:line="323"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an L/C Issuer, a Revolver Lender and a Term Loan Lender</w:t>
      </w:r>
    </w:p>
    <w:p>
      <w:pPr>
        <w:spacing w:after="0" w:line="316"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680" w:type="dxa"/>
            <w:vAlign w:val="bottom"/>
            <w:gridSpan w:val="3"/>
          </w:tcPr>
          <w:p>
            <w:pPr>
              <w:spacing w:after="0"/>
              <w:rPr>
                <w:sz w:val="20"/>
                <w:szCs w:val="20"/>
                <w:color w:val="auto"/>
              </w:rPr>
            </w:pPr>
            <w:r>
              <w:rPr>
                <w:rFonts w:ascii="Arial" w:cs="Arial" w:eastAsia="Arial" w:hAnsi="Arial"/>
                <w:sz w:val="20"/>
                <w:szCs w:val="20"/>
                <w:color w:val="auto"/>
              </w:rPr>
              <w:t>By:  /s/ Jason Weston</w:t>
            </w:r>
          </w:p>
        </w:tc>
        <w:tc>
          <w:tcPr>
            <w:tcW w:w="2080" w:type="dxa"/>
            <w:vAlign w:val="bottom"/>
          </w:tcPr>
          <w:p>
            <w:pPr>
              <w:ind w:left="240"/>
              <w:spacing w:after="0"/>
              <w:rPr>
                <w:sz w:val="20"/>
                <w:szCs w:val="20"/>
                <w:color w:val="auto"/>
              </w:rPr>
            </w:pPr>
            <w:r>
              <w:rPr>
                <w:rFonts w:ascii="Arial" w:cs="Arial" w:eastAsia="Arial" w:hAnsi="Arial"/>
                <w:sz w:val="20"/>
                <w:szCs w:val="20"/>
                <w:color w:val="auto"/>
                <w:w w:val="92"/>
              </w:rPr>
              <w:t>Name:  Jason Weston</w:t>
            </w:r>
          </w:p>
        </w:tc>
      </w:tr>
      <w:tr>
        <w:trPr>
          <w:trHeight w:val="20"/>
        </w:trPr>
        <w:tc>
          <w:tcPr>
            <w:tcW w:w="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4"/>
        </w:trPr>
        <w:tc>
          <w:tcPr>
            <w:tcW w:w="520" w:type="dxa"/>
            <w:vAlign w:val="bottom"/>
          </w:tcPr>
          <w:p>
            <w:pPr>
              <w:spacing w:after="0"/>
              <w:rPr>
                <w:sz w:val="22"/>
                <w:szCs w:val="22"/>
                <w:color w:val="auto"/>
              </w:rPr>
            </w:pPr>
          </w:p>
        </w:tc>
        <w:tc>
          <w:tcPr>
            <w:tcW w:w="2160" w:type="dxa"/>
            <w:vAlign w:val="bottom"/>
            <w:gridSpan w:val="2"/>
          </w:tcPr>
          <w:p>
            <w:pPr>
              <w:ind w:left="140"/>
              <w:spacing w:after="0"/>
              <w:rPr>
                <w:sz w:val="20"/>
                <w:szCs w:val="20"/>
                <w:color w:val="auto"/>
              </w:rPr>
            </w:pPr>
            <w:r>
              <w:rPr>
                <w:rFonts w:ascii="Arial" w:cs="Arial" w:eastAsia="Arial" w:hAnsi="Arial"/>
                <w:sz w:val="20"/>
                <w:szCs w:val="20"/>
                <w:color w:val="auto"/>
              </w:rPr>
              <w:t>Title:  Vice President</w:t>
            </w:r>
          </w:p>
        </w:tc>
        <w:tc>
          <w:tcPr>
            <w:tcW w:w="2080" w:type="dxa"/>
            <w:vAlign w:val="bottom"/>
          </w:tcPr>
          <w:p>
            <w:pPr>
              <w:spacing w:after="0"/>
              <w:rPr>
                <w:sz w:val="22"/>
                <w:szCs w:val="2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4" w:name="page55"/>
    <w:bookmarkEnd w:id="54"/>
    <w:p>
      <w:pPr>
        <w:ind w:left="3340"/>
        <w:spacing w:after="0"/>
        <w:rPr>
          <w:sz w:val="20"/>
          <w:szCs w:val="20"/>
          <w:color w:val="auto"/>
        </w:rPr>
      </w:pPr>
      <w:r>
        <w:rPr>
          <w:rFonts w:ascii="Arial" w:cs="Arial" w:eastAsia="Arial" w:hAnsi="Arial"/>
          <w:sz w:val="20"/>
          <w:szCs w:val="20"/>
          <w:b w:val="1"/>
          <w:bCs w:val="1"/>
          <w:color w:val="auto"/>
        </w:rPr>
        <w:t>COMPASS BANK</w:t>
      </w:r>
      <w:r>
        <w:rPr>
          <w:rFonts w:ascii="Arial" w:cs="Arial" w:eastAsia="Arial" w:hAnsi="Arial"/>
          <w:sz w:val="20"/>
          <w:szCs w:val="20"/>
          <w:color w:val="auto"/>
        </w:rPr>
        <w:t>,</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as a Revolver Lender</w:t>
      </w:r>
    </w:p>
    <w:p>
      <w:pPr>
        <w:spacing w:after="0" w:line="200" w:lineRule="exact"/>
        <w:rPr>
          <w:sz w:val="20"/>
          <w:szCs w:val="20"/>
          <w:color w:val="auto"/>
        </w:rPr>
      </w:pPr>
    </w:p>
    <w:p>
      <w:pPr>
        <w:spacing w:after="0" w:line="216" w:lineRule="exact"/>
        <w:rPr>
          <w:sz w:val="20"/>
          <w:szCs w:val="20"/>
          <w:color w:val="auto"/>
        </w:rPr>
      </w:pPr>
    </w:p>
    <w:p>
      <w:pPr>
        <w:ind w:left="334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Jason B. Fritz</w:t>
      </w:r>
    </w:p>
    <w:p>
      <w:pPr>
        <w:spacing w:after="0" w:line="15" w:lineRule="exact"/>
        <w:rPr>
          <w:sz w:val="20"/>
          <w:szCs w:val="20"/>
          <w:color w:val="auto"/>
        </w:rPr>
      </w:pPr>
    </w:p>
    <w:p>
      <w:pPr>
        <w:ind w:left="4000"/>
        <w:spacing w:after="0"/>
        <w:tabs>
          <w:tab w:leader="none" w:pos="4740" w:val="left"/>
        </w:tabs>
        <w:rPr>
          <w:sz w:val="20"/>
          <w:szCs w:val="20"/>
          <w:color w:val="auto"/>
        </w:rPr>
      </w:pPr>
      <w:r>
        <w:rPr>
          <w:rFonts w:ascii="Arial" w:cs="Arial" w:eastAsia="Arial" w:hAnsi="Arial"/>
          <w:sz w:val="20"/>
          <w:szCs w:val="20"/>
          <w:color w:val="auto"/>
        </w:rPr>
        <w:t>Name:</w:t>
        <w:tab/>
        <w:t>Jason B. Fritz</w:t>
      </w:r>
    </w:p>
    <w:p>
      <w:pPr>
        <w:ind w:left="4000"/>
        <w:spacing w:after="0"/>
        <w:tabs>
          <w:tab w:leader="none" w:pos="4620" w:val="left"/>
        </w:tabs>
        <w:rPr>
          <w:sz w:val="20"/>
          <w:szCs w:val="20"/>
          <w:color w:val="auto"/>
        </w:rPr>
      </w:pPr>
      <w:r>
        <w:rPr>
          <w:rFonts w:ascii="Arial" w:cs="Arial" w:eastAsia="Arial" w:hAnsi="Arial"/>
          <w:sz w:val="20"/>
          <w:szCs w:val="20"/>
          <w:color w:val="auto"/>
        </w:rPr>
        <w:t>Title:</w:t>
        <w:tab/>
        <w:t>Senior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5" w:name="page56"/>
    <w:bookmarkEnd w:id="55"/>
    <w:p>
      <w:pPr>
        <w:ind w:left="3340"/>
        <w:spacing w:after="0"/>
        <w:rPr>
          <w:sz w:val="20"/>
          <w:szCs w:val="20"/>
          <w:color w:val="auto"/>
        </w:rPr>
      </w:pPr>
      <w:r>
        <w:rPr>
          <w:rFonts w:ascii="Arial" w:cs="Arial" w:eastAsia="Arial" w:hAnsi="Arial"/>
          <w:sz w:val="20"/>
          <w:szCs w:val="20"/>
          <w:b w:val="1"/>
          <w:bCs w:val="1"/>
          <w:color w:val="auto"/>
        </w:rPr>
        <w:t>BANK OF THE WEST</w:t>
      </w:r>
      <w:r>
        <w:rPr>
          <w:rFonts w:ascii="Arial" w:cs="Arial" w:eastAsia="Arial" w:hAnsi="Arial"/>
          <w:sz w:val="20"/>
          <w:szCs w:val="20"/>
          <w:color w:val="auto"/>
        </w:rPr>
        <w:t>,</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62" w:lineRule="exact"/>
        <w:rPr>
          <w:sz w:val="20"/>
          <w:szCs w:val="20"/>
          <w:color w:val="auto"/>
        </w:rPr>
      </w:pPr>
    </w:p>
    <w:p>
      <w:pPr>
        <w:ind w:left="334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Philip Garlinghouse</w:t>
      </w:r>
    </w:p>
    <w:p>
      <w:pPr>
        <w:spacing w:after="0" w:line="15" w:lineRule="exact"/>
        <w:rPr>
          <w:sz w:val="20"/>
          <w:szCs w:val="20"/>
          <w:color w:val="auto"/>
        </w:rPr>
      </w:pPr>
    </w:p>
    <w:p>
      <w:pPr>
        <w:ind w:left="4000"/>
        <w:spacing w:after="0"/>
        <w:tabs>
          <w:tab w:leader="none" w:pos="4740" w:val="left"/>
        </w:tabs>
        <w:rPr>
          <w:sz w:val="20"/>
          <w:szCs w:val="20"/>
          <w:color w:val="auto"/>
        </w:rPr>
      </w:pPr>
      <w:r>
        <w:rPr>
          <w:rFonts w:ascii="Arial" w:cs="Arial" w:eastAsia="Arial" w:hAnsi="Arial"/>
          <w:sz w:val="20"/>
          <w:szCs w:val="20"/>
          <w:color w:val="auto"/>
        </w:rPr>
        <w:t>Name:</w:t>
        <w:tab/>
        <w:t>Philip Garlinghouse</w:t>
      </w:r>
    </w:p>
    <w:p>
      <w:pPr>
        <w:ind w:left="4000"/>
        <w:spacing w:after="0"/>
        <w:tabs>
          <w:tab w:leader="none" w:pos="462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05" w:right="1440" w:bottom="1440" w:gutter="0" w:footer="0" w:header="0"/>
        </w:sectPr>
      </w:pPr>
    </w:p>
    <w:bookmarkStart w:id="56" w:name="page57"/>
    <w:bookmarkEnd w:id="56"/>
    <w:p>
      <w:pPr>
        <w:ind w:left="3340"/>
        <w:spacing w:after="0"/>
        <w:rPr>
          <w:sz w:val="20"/>
          <w:szCs w:val="20"/>
          <w:color w:val="auto"/>
        </w:rPr>
      </w:pPr>
      <w:r>
        <w:rPr>
          <w:rFonts w:ascii="Arial" w:cs="Arial" w:eastAsia="Arial" w:hAnsi="Arial"/>
          <w:sz w:val="21"/>
          <w:szCs w:val="21"/>
          <w:b w:val="1"/>
          <w:bCs w:val="1"/>
          <w:color w:val="auto"/>
        </w:rPr>
        <w:t>BOKF, N.A. DBA COLORADO STATE BANK &amp; TRUST</w:t>
      </w:r>
      <w:r>
        <w:rPr>
          <w:rFonts w:ascii="Arial" w:cs="Arial" w:eastAsia="Arial" w:hAnsi="Arial"/>
          <w:sz w:val="21"/>
          <w:szCs w:val="21"/>
          <w:color w:val="auto"/>
        </w:rPr>
        <w:t>,</w:t>
      </w:r>
    </w:p>
    <w:p>
      <w:pPr>
        <w:spacing w:after="0" w:line="2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as a Revolver Lender and a Term Loan Lender</w:t>
      </w:r>
    </w:p>
    <w:p>
      <w:pPr>
        <w:spacing w:after="0" w:line="200" w:lineRule="exact"/>
        <w:rPr>
          <w:sz w:val="20"/>
          <w:szCs w:val="20"/>
          <w:color w:val="auto"/>
        </w:rPr>
      </w:pPr>
    </w:p>
    <w:p>
      <w:pPr>
        <w:spacing w:after="0" w:line="238"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 Golec</w:t>
      </w:r>
    </w:p>
    <w:p>
      <w:pPr>
        <w:spacing w:after="0" w:line="22" w:lineRule="exact"/>
        <w:rPr>
          <w:sz w:val="20"/>
          <w:szCs w:val="20"/>
          <w:color w:val="auto"/>
        </w:rPr>
      </w:pPr>
    </w:p>
    <w:p>
      <w:pPr>
        <w:ind w:left="4000"/>
        <w:spacing w:after="0"/>
        <w:tabs>
          <w:tab w:leader="none" w:pos="4780" w:val="left"/>
        </w:tabs>
        <w:rPr>
          <w:sz w:val="20"/>
          <w:szCs w:val="20"/>
          <w:color w:val="auto"/>
        </w:rPr>
      </w:pPr>
      <w:r>
        <w:rPr>
          <w:rFonts w:ascii="Arial" w:cs="Arial" w:eastAsia="Arial" w:hAnsi="Arial"/>
          <w:sz w:val="22"/>
          <w:szCs w:val="22"/>
          <w:color w:val="auto"/>
        </w:rPr>
        <w:t>Name:</w:t>
        <w:tab/>
        <w:t>Chris Golec</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Seventh Amended and Restated Credit Agreement</w:t>
      </w:r>
    </w:p>
    <w:p>
      <w:pPr>
        <w:sectPr>
          <w:pgSz w:w="11900" w:h="16838" w:orient="portrait"/>
          <w:cols w:equalWidth="0" w:num="1">
            <w:col w:w="9019"/>
          </w:cols>
          <w:pgMar w:left="1440" w:top="841" w:right="1440" w:bottom="1440" w:gutter="0" w:footer="0" w:header="0"/>
        </w:sectPr>
      </w:pPr>
    </w:p>
    <w:bookmarkStart w:id="57" w:name="page58"/>
    <w:bookmarkEnd w:id="57"/>
    <w:p>
      <w:pPr>
        <w:ind w:left="3880"/>
        <w:spacing w:after="0"/>
        <w:rPr>
          <w:sz w:val="20"/>
          <w:szCs w:val="20"/>
          <w:color w:val="auto"/>
        </w:rPr>
      </w:pPr>
      <w:r>
        <w:rPr>
          <w:rFonts w:ascii="Arial" w:cs="Arial" w:eastAsia="Arial" w:hAnsi="Arial"/>
          <w:sz w:val="20"/>
          <w:szCs w:val="20"/>
          <w:b w:val="1"/>
          <w:bCs w:val="1"/>
          <w:u w:val="single" w:color="auto"/>
          <w:color w:val="auto"/>
        </w:rPr>
        <w:t>GUARANTORS’ CONSENT AND AGREEMENT</w:t>
      </w:r>
    </w:p>
    <w:p>
      <w:pPr>
        <w:spacing w:after="0" w:line="3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As an inducement to Administrative Agent and Required Lenders to execute, and in consideration of and as a condition to Administrative Agent’s and Required Lenders’ execution of the foregoing First Amendment to Seventh Amended and Restated Credit Agreement (the “</w:t>
      </w:r>
      <w:r>
        <w:rPr>
          <w:rFonts w:ascii="Arial" w:cs="Arial" w:eastAsia="Arial" w:hAnsi="Arial"/>
          <w:sz w:val="19"/>
          <w:szCs w:val="19"/>
          <w:b w:val="1"/>
          <w:bCs w:val="1"/>
          <w:i w:val="1"/>
          <w:iCs w:val="1"/>
          <w:color w:val="auto"/>
        </w:rPr>
        <w:t>First Amendment</w:t>
      </w:r>
      <w:r>
        <w:rPr>
          <w:rFonts w:ascii="Arial" w:cs="Arial" w:eastAsia="Arial" w:hAnsi="Arial"/>
          <w:sz w:val="19"/>
          <w:szCs w:val="19"/>
          <w:color w:val="auto"/>
        </w:rPr>
        <w:t>”), the undersigned hereby consent to the First Amendment, and agree that (a) the First Amendment shall in no way release, 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Arial" w:cs="Arial" w:eastAsia="Arial" w:hAnsi="Arial"/>
          <w:sz w:val="19"/>
          <w:szCs w:val="19"/>
          <w:i w:val="1"/>
          <w:iCs w:val="1"/>
          <w:color w:val="auto"/>
        </w:rPr>
        <w:t>Guaranteed Debt</w:t>
      </w:r>
      <w:r>
        <w:rPr>
          <w:rFonts w:ascii="Arial" w:cs="Arial" w:eastAsia="Arial" w:hAnsi="Arial"/>
          <w:sz w:val="19"/>
          <w:szCs w:val="19"/>
          <w:color w:val="auto"/>
        </w:rPr>
        <w:t>” (as defined in each Guaranty) includes, without limitation, the “</w:t>
      </w:r>
      <w:r>
        <w:rPr>
          <w:rFonts w:ascii="Arial" w:cs="Arial" w:eastAsia="Arial" w:hAnsi="Arial"/>
          <w:sz w:val="19"/>
          <w:szCs w:val="19"/>
          <w:i w:val="1"/>
          <w:iCs w:val="1"/>
          <w:color w:val="auto"/>
        </w:rPr>
        <w:t>Obligation</w:t>
      </w:r>
      <w:r>
        <w:rPr>
          <w:rFonts w:ascii="Arial" w:cs="Arial" w:eastAsia="Arial" w:hAnsi="Arial"/>
          <w:sz w:val="19"/>
          <w:szCs w:val="19"/>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Vail Resorts, Inc.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All Media Associates, Inc.</w:t>
      </w:r>
    </w:p>
    <w:p>
      <w:pPr>
        <w:ind w:left="4540"/>
        <w:spacing w:after="0"/>
        <w:rPr>
          <w:sz w:val="20"/>
          <w:szCs w:val="20"/>
          <w:color w:val="auto"/>
        </w:rPr>
      </w:pPr>
      <w:r>
        <w:rPr>
          <w:rFonts w:ascii="Arial" w:cs="Arial" w:eastAsia="Arial" w:hAnsi="Arial"/>
          <w:sz w:val="20"/>
          <w:szCs w:val="20"/>
          <w:color w:val="auto"/>
        </w:rPr>
        <w:t>All Media Holdings, Inc.</w:t>
      </w:r>
    </w:p>
    <w:p>
      <w:pPr>
        <w:ind w:left="4540"/>
        <w:spacing w:after="0"/>
        <w:rPr>
          <w:sz w:val="20"/>
          <w:szCs w:val="20"/>
          <w:color w:val="auto"/>
        </w:rPr>
      </w:pPr>
      <w:r>
        <w:rPr>
          <w:rFonts w:ascii="Arial" w:cs="Arial" w:eastAsia="Arial" w:hAnsi="Arial"/>
          <w:sz w:val="20"/>
          <w:szCs w:val="20"/>
          <w:color w:val="auto"/>
        </w:rPr>
        <w:t>Arrabelle at Vail Square, LLC</w:t>
      </w:r>
    </w:p>
    <w:p>
      <w:pPr>
        <w:ind w:left="4540"/>
        <w:spacing w:after="0"/>
        <w:rPr>
          <w:sz w:val="20"/>
          <w:szCs w:val="20"/>
          <w:color w:val="auto"/>
        </w:rPr>
      </w:pPr>
      <w:r>
        <w:rPr>
          <w:rFonts w:ascii="Arial" w:cs="Arial" w:eastAsia="Arial" w:hAnsi="Arial"/>
          <w:sz w:val="20"/>
          <w:szCs w:val="20"/>
          <w:color w:val="auto"/>
        </w:rPr>
        <w:t>By: Vail Resorts Development Company</w:t>
      </w:r>
    </w:p>
    <w:p>
      <w:pPr>
        <w:ind w:left="4540"/>
        <w:spacing w:after="0"/>
        <w:rPr>
          <w:sz w:val="20"/>
          <w:szCs w:val="20"/>
          <w:color w:val="auto"/>
        </w:rPr>
      </w:pPr>
      <w:r>
        <w:rPr>
          <w:rFonts w:ascii="Arial" w:cs="Arial" w:eastAsia="Arial" w:hAnsi="Arial"/>
          <w:sz w:val="20"/>
          <w:szCs w:val="20"/>
          <w:color w:val="auto"/>
        </w:rPr>
        <w:t>Beaver Creek Associates, Inc.</w:t>
      </w:r>
    </w:p>
    <w:p>
      <w:pPr>
        <w:ind w:left="4540"/>
        <w:spacing w:after="0"/>
        <w:rPr>
          <w:sz w:val="20"/>
          <w:szCs w:val="20"/>
          <w:color w:val="auto"/>
        </w:rPr>
      </w:pPr>
      <w:r>
        <w:rPr>
          <w:rFonts w:ascii="Arial" w:cs="Arial" w:eastAsia="Arial" w:hAnsi="Arial"/>
          <w:sz w:val="20"/>
          <w:szCs w:val="20"/>
          <w:color w:val="auto"/>
        </w:rPr>
        <w:t>Beaver Creek Consultants, Inc.</w:t>
      </w:r>
    </w:p>
    <w:p>
      <w:pPr>
        <w:ind w:left="4540"/>
        <w:spacing w:after="0"/>
        <w:rPr>
          <w:sz w:val="20"/>
          <w:szCs w:val="20"/>
          <w:color w:val="auto"/>
        </w:rPr>
      </w:pPr>
      <w:r>
        <w:rPr>
          <w:rFonts w:ascii="Arial" w:cs="Arial" w:eastAsia="Arial" w:hAnsi="Arial"/>
          <w:sz w:val="20"/>
          <w:szCs w:val="20"/>
          <w:color w:val="auto"/>
        </w:rPr>
        <w:t>Beaver Creek Food Services, Inc.</w:t>
      </w:r>
    </w:p>
    <w:p>
      <w:pPr>
        <w:ind w:left="4540"/>
        <w:spacing w:after="0"/>
        <w:rPr>
          <w:sz w:val="20"/>
          <w:szCs w:val="20"/>
          <w:color w:val="auto"/>
        </w:rPr>
      </w:pPr>
      <w:r>
        <w:rPr>
          <w:rFonts w:ascii="Arial" w:cs="Arial" w:eastAsia="Arial" w:hAnsi="Arial"/>
          <w:sz w:val="20"/>
          <w:szCs w:val="20"/>
          <w:color w:val="auto"/>
        </w:rPr>
        <w:t>Booth Creek Ski Holdings, Inc.</w:t>
      </w:r>
    </w:p>
    <w:p>
      <w:pPr>
        <w:ind w:left="4540"/>
        <w:spacing w:after="0"/>
        <w:rPr>
          <w:sz w:val="20"/>
          <w:szCs w:val="20"/>
          <w:color w:val="auto"/>
        </w:rPr>
      </w:pPr>
      <w:r>
        <w:rPr>
          <w:rFonts w:ascii="Arial" w:cs="Arial" w:eastAsia="Arial" w:hAnsi="Arial"/>
          <w:sz w:val="20"/>
          <w:szCs w:val="20"/>
          <w:color w:val="auto"/>
        </w:rPr>
        <w:t>BCRP Inc.</w:t>
      </w:r>
    </w:p>
    <w:p>
      <w:pPr>
        <w:ind w:left="4540"/>
        <w:spacing w:after="0"/>
        <w:rPr>
          <w:sz w:val="20"/>
          <w:szCs w:val="20"/>
          <w:color w:val="auto"/>
        </w:rPr>
      </w:pPr>
      <w:r>
        <w:rPr>
          <w:rFonts w:ascii="Arial" w:cs="Arial" w:eastAsia="Arial" w:hAnsi="Arial"/>
          <w:sz w:val="20"/>
          <w:szCs w:val="20"/>
          <w:color w:val="auto"/>
        </w:rPr>
        <w:t>Breckenridge Resort Properties, Inc.</w:t>
      </w:r>
    </w:p>
    <w:p>
      <w:pPr>
        <w:ind w:left="4540"/>
        <w:spacing w:after="0"/>
        <w:rPr>
          <w:sz w:val="20"/>
          <w:szCs w:val="20"/>
          <w:color w:val="auto"/>
        </w:rPr>
      </w:pPr>
      <w:r>
        <w:rPr>
          <w:rFonts w:ascii="Arial" w:cs="Arial" w:eastAsia="Arial" w:hAnsi="Arial"/>
          <w:sz w:val="20"/>
          <w:szCs w:val="20"/>
          <w:color w:val="auto"/>
        </w:rPr>
        <w:t>Bryce Canyon Lodge Company</w:t>
      </w:r>
    </w:p>
    <w:p>
      <w:pPr>
        <w:ind w:left="4540"/>
        <w:spacing w:after="0"/>
        <w:rPr>
          <w:sz w:val="20"/>
          <w:szCs w:val="20"/>
          <w:color w:val="auto"/>
        </w:rPr>
      </w:pPr>
      <w:r>
        <w:rPr>
          <w:rFonts w:ascii="Arial" w:cs="Arial" w:eastAsia="Arial" w:hAnsi="Arial"/>
          <w:sz w:val="20"/>
          <w:szCs w:val="20"/>
          <w:color w:val="auto"/>
        </w:rPr>
        <w:t>Colorado Mountain Express, Inc.</w:t>
      </w:r>
    </w:p>
    <w:p>
      <w:pPr>
        <w:ind w:left="4540"/>
        <w:spacing w:after="0"/>
        <w:rPr>
          <w:sz w:val="20"/>
          <w:szCs w:val="20"/>
          <w:color w:val="auto"/>
        </w:rPr>
      </w:pPr>
      <w:r>
        <w:rPr>
          <w:rFonts w:ascii="Arial" w:cs="Arial" w:eastAsia="Arial" w:hAnsi="Arial"/>
          <w:sz w:val="20"/>
          <w:szCs w:val="20"/>
          <w:color w:val="auto"/>
        </w:rPr>
        <w:t>Colter Bay Café Court, LLC</w:t>
      </w:r>
    </w:p>
    <w:p>
      <w:pPr>
        <w:ind w:left="4540"/>
        <w:spacing w:after="0"/>
        <w:rPr>
          <w:sz w:val="20"/>
          <w:szCs w:val="20"/>
          <w:color w:val="auto"/>
        </w:rPr>
      </w:pPr>
      <w:r>
        <w:rPr>
          <w:rFonts w:ascii="Arial" w:cs="Arial" w:eastAsia="Arial" w:hAnsi="Arial"/>
          <w:sz w:val="20"/>
          <w:szCs w:val="20"/>
          <w:color w:val="auto"/>
        </w:rPr>
        <w:t>By: Grand Teton Lodge Company</w:t>
      </w:r>
    </w:p>
    <w:p>
      <w:pPr>
        <w:ind w:left="4540"/>
        <w:spacing w:after="0"/>
        <w:rPr>
          <w:sz w:val="20"/>
          <w:szCs w:val="20"/>
          <w:color w:val="auto"/>
        </w:rPr>
      </w:pPr>
      <w:r>
        <w:rPr>
          <w:rFonts w:ascii="Arial" w:cs="Arial" w:eastAsia="Arial" w:hAnsi="Arial"/>
          <w:sz w:val="20"/>
          <w:szCs w:val="20"/>
          <w:color w:val="auto"/>
        </w:rPr>
        <w:t>Colter Bay Convenience Store, LLC</w:t>
      </w:r>
    </w:p>
    <w:p>
      <w:pPr>
        <w:ind w:left="4540"/>
        <w:spacing w:after="0"/>
        <w:rPr>
          <w:sz w:val="20"/>
          <w:szCs w:val="20"/>
          <w:color w:val="auto"/>
        </w:rPr>
      </w:pPr>
      <w:r>
        <w:rPr>
          <w:rFonts w:ascii="Arial" w:cs="Arial" w:eastAsia="Arial" w:hAnsi="Arial"/>
          <w:sz w:val="20"/>
          <w:szCs w:val="20"/>
          <w:color w:val="auto"/>
        </w:rPr>
        <w:t>By: Grand Teton Lodge Company</w:t>
      </w:r>
    </w:p>
    <w:p>
      <w:pPr>
        <w:ind w:left="4540"/>
        <w:spacing w:after="0"/>
        <w:rPr>
          <w:sz w:val="20"/>
          <w:szCs w:val="20"/>
          <w:color w:val="auto"/>
        </w:rPr>
      </w:pPr>
      <w:r>
        <w:rPr>
          <w:rFonts w:ascii="Arial" w:cs="Arial" w:eastAsia="Arial" w:hAnsi="Arial"/>
          <w:sz w:val="20"/>
          <w:szCs w:val="20"/>
          <w:color w:val="auto"/>
        </w:rPr>
        <w:t>Colter Bay Corporation</w:t>
      </w:r>
    </w:p>
    <w:p>
      <w:pPr>
        <w:ind w:left="4540"/>
        <w:spacing w:after="0"/>
        <w:rPr>
          <w:sz w:val="20"/>
          <w:szCs w:val="20"/>
          <w:color w:val="auto"/>
        </w:rPr>
      </w:pPr>
      <w:r>
        <w:rPr>
          <w:rFonts w:ascii="Arial" w:cs="Arial" w:eastAsia="Arial" w:hAnsi="Arial"/>
          <w:sz w:val="20"/>
          <w:szCs w:val="20"/>
          <w:color w:val="auto"/>
        </w:rPr>
        <w:t>Colter Bay General Store, LLC</w:t>
      </w:r>
    </w:p>
    <w:p>
      <w:pPr>
        <w:ind w:left="4540"/>
        <w:spacing w:after="0"/>
        <w:rPr>
          <w:sz w:val="20"/>
          <w:szCs w:val="20"/>
          <w:color w:val="auto"/>
        </w:rPr>
      </w:pPr>
      <w:r>
        <w:rPr>
          <w:rFonts w:ascii="Arial" w:cs="Arial" w:eastAsia="Arial" w:hAnsi="Arial"/>
          <w:sz w:val="20"/>
          <w:szCs w:val="20"/>
          <w:color w:val="auto"/>
        </w:rPr>
        <w:t>By: Grand Teton Lodge Company</w:t>
      </w:r>
    </w:p>
    <w:p>
      <w:pPr>
        <w:ind w:left="4540"/>
        <w:spacing w:after="0"/>
        <w:rPr>
          <w:sz w:val="20"/>
          <w:szCs w:val="20"/>
          <w:color w:val="auto"/>
        </w:rPr>
      </w:pPr>
      <w:r>
        <w:rPr>
          <w:rFonts w:ascii="Arial" w:cs="Arial" w:eastAsia="Arial" w:hAnsi="Arial"/>
          <w:sz w:val="20"/>
          <w:szCs w:val="20"/>
          <w:color w:val="auto"/>
        </w:rPr>
        <w:t>Colter Bay Marina, LLC</w:t>
      </w:r>
    </w:p>
    <w:p>
      <w:pPr>
        <w:ind w:left="4540"/>
        <w:spacing w:after="0"/>
        <w:rPr>
          <w:sz w:val="20"/>
          <w:szCs w:val="20"/>
          <w:color w:val="auto"/>
        </w:rPr>
      </w:pPr>
      <w:r>
        <w:rPr>
          <w:rFonts w:ascii="Arial" w:cs="Arial" w:eastAsia="Arial" w:hAnsi="Arial"/>
          <w:sz w:val="20"/>
          <w:szCs w:val="20"/>
          <w:color w:val="auto"/>
        </w:rPr>
        <w:t>By: Grand Teton Lodge Company</w:t>
      </w:r>
    </w:p>
    <w:p>
      <w:pPr>
        <w:ind w:left="4540"/>
        <w:spacing w:after="0"/>
        <w:rPr>
          <w:sz w:val="20"/>
          <w:szCs w:val="20"/>
          <w:color w:val="auto"/>
        </w:rPr>
      </w:pPr>
      <w:r>
        <w:rPr>
          <w:rFonts w:ascii="Arial" w:cs="Arial" w:eastAsia="Arial" w:hAnsi="Arial"/>
          <w:sz w:val="20"/>
          <w:szCs w:val="20"/>
          <w:color w:val="auto"/>
        </w:rPr>
        <w:t>Crystal Peak Lodge of Breckenridge, Inc.</w:t>
      </w:r>
    </w:p>
    <w:p>
      <w:pPr>
        <w:ind w:left="4540"/>
        <w:spacing w:after="0"/>
        <w:rPr>
          <w:sz w:val="20"/>
          <w:szCs w:val="20"/>
          <w:color w:val="auto"/>
        </w:rPr>
      </w:pPr>
      <w:r>
        <w:rPr>
          <w:rFonts w:ascii="Arial" w:cs="Arial" w:eastAsia="Arial" w:hAnsi="Arial"/>
          <w:sz w:val="20"/>
          <w:szCs w:val="20"/>
          <w:color w:val="auto"/>
        </w:rPr>
        <w:t>DTPC, LLC</w:t>
      </w:r>
    </w:p>
    <w:p>
      <w:pPr>
        <w:ind w:left="4540"/>
        <w:spacing w:after="0"/>
        <w:rPr>
          <w:sz w:val="20"/>
          <w:szCs w:val="20"/>
          <w:color w:val="auto"/>
        </w:rPr>
      </w:pPr>
      <w:r>
        <w:rPr>
          <w:rFonts w:ascii="Arial" w:cs="Arial" w:eastAsia="Arial" w:hAnsi="Arial"/>
          <w:sz w:val="20"/>
          <w:szCs w:val="20"/>
          <w:color w:val="auto"/>
        </w:rPr>
        <w:t>By: Rockresorts International, LLC</w:t>
      </w:r>
    </w:p>
    <w:p>
      <w:pPr>
        <w:ind w:left="4540"/>
        <w:spacing w:after="0"/>
        <w:rPr>
          <w:sz w:val="20"/>
          <w:szCs w:val="20"/>
          <w:color w:val="auto"/>
        </w:rPr>
      </w:pPr>
      <w:r>
        <w:rPr>
          <w:rFonts w:ascii="Arial" w:cs="Arial" w:eastAsia="Arial" w:hAnsi="Arial"/>
          <w:sz w:val="20"/>
          <w:szCs w:val="20"/>
          <w:color w:val="auto"/>
        </w:rPr>
        <w:t>By: Vail RR, Inc.</w:t>
      </w:r>
    </w:p>
    <w:p>
      <w:pPr>
        <w:ind w:left="4540"/>
        <w:spacing w:after="0"/>
        <w:rPr>
          <w:sz w:val="20"/>
          <w:szCs w:val="20"/>
          <w:color w:val="auto"/>
        </w:rPr>
      </w:pPr>
      <w:r>
        <w:rPr>
          <w:rFonts w:ascii="Arial" w:cs="Arial" w:eastAsia="Arial" w:hAnsi="Arial"/>
          <w:sz w:val="20"/>
          <w:szCs w:val="20"/>
          <w:color w:val="auto"/>
        </w:rPr>
        <w:t>EpicSki, Inc.</w:t>
      </w:r>
    </w:p>
    <w:p>
      <w:pPr>
        <w:ind w:left="4540"/>
        <w:spacing w:after="0"/>
        <w:rPr>
          <w:sz w:val="20"/>
          <w:szCs w:val="20"/>
          <w:color w:val="auto"/>
        </w:rPr>
      </w:pPr>
      <w:r>
        <w:rPr>
          <w:rFonts w:ascii="Arial" w:cs="Arial" w:eastAsia="Arial" w:hAnsi="Arial"/>
          <w:sz w:val="20"/>
          <w:szCs w:val="20"/>
          <w:color w:val="auto"/>
        </w:rPr>
        <w:t>Flagg Ranch Company</w:t>
      </w:r>
    </w:p>
    <w:p>
      <w:pPr>
        <w:ind w:left="4540"/>
        <w:spacing w:after="0"/>
        <w:rPr>
          <w:sz w:val="20"/>
          <w:szCs w:val="20"/>
          <w:color w:val="auto"/>
        </w:rPr>
      </w:pPr>
      <w:r>
        <w:rPr>
          <w:rFonts w:ascii="Arial" w:cs="Arial" w:eastAsia="Arial" w:hAnsi="Arial"/>
          <w:sz w:val="20"/>
          <w:szCs w:val="20"/>
          <w:color w:val="auto"/>
        </w:rPr>
        <w:t>Gillett Broadcasting, Inc.</w:t>
      </w:r>
    </w:p>
    <w:p>
      <w:pPr>
        <w:ind w:left="4540"/>
        <w:spacing w:after="0"/>
        <w:rPr>
          <w:sz w:val="20"/>
          <w:szCs w:val="20"/>
          <w:color w:val="auto"/>
        </w:rPr>
      </w:pPr>
      <w:r>
        <w:rPr>
          <w:rFonts w:ascii="Arial" w:cs="Arial" w:eastAsia="Arial" w:hAnsi="Arial"/>
          <w:sz w:val="20"/>
          <w:szCs w:val="20"/>
          <w:color w:val="auto"/>
        </w:rPr>
        <w:t>Grand Teton Lodge Company</w:t>
      </w:r>
    </w:p>
    <w:p>
      <w:pPr>
        <w:ind w:left="4540"/>
        <w:spacing w:after="0"/>
        <w:rPr>
          <w:sz w:val="20"/>
          <w:szCs w:val="20"/>
          <w:color w:val="auto"/>
        </w:rPr>
      </w:pPr>
      <w:r>
        <w:rPr>
          <w:rFonts w:ascii="Arial" w:cs="Arial" w:eastAsia="Arial" w:hAnsi="Arial"/>
          <w:sz w:val="20"/>
          <w:szCs w:val="20"/>
          <w:color w:val="auto"/>
        </w:rPr>
        <w:t>Heavenly Valley, Limited Partnership</w:t>
      </w:r>
    </w:p>
    <w:p>
      <w:pPr>
        <w:ind w:left="4540"/>
        <w:spacing w:after="0"/>
        <w:rPr>
          <w:sz w:val="20"/>
          <w:szCs w:val="20"/>
          <w:color w:val="auto"/>
        </w:rPr>
      </w:pPr>
      <w:r>
        <w:rPr>
          <w:rFonts w:ascii="Arial" w:cs="Arial" w:eastAsia="Arial" w:hAnsi="Arial"/>
          <w:sz w:val="20"/>
          <w:szCs w:val="20"/>
          <w:color w:val="auto"/>
        </w:rPr>
        <w:t>By: VR Heavenly I, Inc.</w:t>
      </w:r>
    </w:p>
    <w:p>
      <w:pPr>
        <w:ind w:left="4540"/>
        <w:spacing w:after="0"/>
        <w:rPr>
          <w:sz w:val="20"/>
          <w:szCs w:val="20"/>
          <w:color w:val="auto"/>
        </w:rPr>
      </w:pPr>
      <w:r>
        <w:rPr>
          <w:rFonts w:ascii="Arial" w:cs="Arial" w:eastAsia="Arial" w:hAnsi="Arial"/>
          <w:sz w:val="20"/>
          <w:szCs w:val="20"/>
          <w:color w:val="auto"/>
        </w:rPr>
        <w:t>HVLP Kirkwood Services, LLC</w:t>
      </w:r>
    </w:p>
    <w:p>
      <w:pPr>
        <w:ind w:left="4540"/>
        <w:spacing w:after="0"/>
        <w:rPr>
          <w:sz w:val="20"/>
          <w:szCs w:val="20"/>
          <w:color w:val="auto"/>
        </w:rPr>
      </w:pPr>
      <w:r>
        <w:rPr>
          <w:rFonts w:ascii="Arial" w:cs="Arial" w:eastAsia="Arial" w:hAnsi="Arial"/>
          <w:sz w:val="20"/>
          <w:szCs w:val="20"/>
          <w:color w:val="auto"/>
        </w:rPr>
        <w:t>By: Heavenly Valley, Limited Partnership</w:t>
      </w:r>
    </w:p>
    <w:p>
      <w:pPr>
        <w:ind w:left="4540"/>
        <w:spacing w:after="0"/>
        <w:rPr>
          <w:sz w:val="20"/>
          <w:szCs w:val="20"/>
          <w:color w:val="auto"/>
        </w:rPr>
      </w:pPr>
      <w:r>
        <w:rPr>
          <w:rFonts w:ascii="Arial" w:cs="Arial" w:eastAsia="Arial" w:hAnsi="Arial"/>
          <w:sz w:val="20"/>
          <w:szCs w:val="20"/>
          <w:color w:val="auto"/>
        </w:rPr>
        <w:t>By: VR Heavenly I, Inc.</w:t>
      </w:r>
    </w:p>
    <w:p>
      <w:pPr>
        <w:ind w:left="4540"/>
        <w:spacing w:after="0"/>
        <w:rPr>
          <w:sz w:val="20"/>
          <w:szCs w:val="20"/>
          <w:color w:val="auto"/>
        </w:rPr>
      </w:pPr>
      <w:r>
        <w:rPr>
          <w:rFonts w:ascii="Arial" w:cs="Arial" w:eastAsia="Arial" w:hAnsi="Arial"/>
          <w:sz w:val="20"/>
          <w:szCs w:val="20"/>
          <w:color w:val="auto"/>
        </w:rPr>
        <w:t>Jackson Hole Golf and Tennis Club, Inc.</w:t>
      </w:r>
    </w:p>
    <w:p>
      <w:pPr>
        <w:ind w:left="4540"/>
        <w:spacing w:after="0"/>
        <w:rPr>
          <w:sz w:val="20"/>
          <w:szCs w:val="20"/>
          <w:color w:val="auto"/>
        </w:rPr>
      </w:pPr>
      <w:r>
        <w:rPr>
          <w:rFonts w:ascii="Arial" w:cs="Arial" w:eastAsia="Arial" w:hAnsi="Arial"/>
          <w:sz w:val="20"/>
          <w:szCs w:val="20"/>
          <w:color w:val="auto"/>
        </w:rPr>
        <w:t>Jackson Hole Golf &amp; Tennis Club Snack Shack, LLC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8" w:name="page59"/>
    <w:bookmarkEnd w:id="58"/>
    <w:p>
      <w:pPr>
        <w:ind w:left="3340"/>
        <w:spacing w:after="0"/>
        <w:rPr>
          <w:sz w:val="20"/>
          <w:szCs w:val="20"/>
          <w:color w:val="auto"/>
        </w:rPr>
      </w:pPr>
      <w:r>
        <w:rPr>
          <w:rFonts w:ascii="Arial" w:cs="Arial" w:eastAsia="Arial" w:hAnsi="Arial"/>
          <w:sz w:val="20"/>
          <w:szCs w:val="20"/>
          <w:color w:val="auto"/>
        </w:rPr>
        <w:t>By: Grand Teton Lodge Company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Jackson Lake Lodge Corporation</w:t>
      </w:r>
    </w:p>
    <w:p>
      <w:pPr>
        <w:ind w:left="3340"/>
        <w:spacing w:after="0"/>
        <w:rPr>
          <w:sz w:val="20"/>
          <w:szCs w:val="20"/>
          <w:color w:val="auto"/>
        </w:rPr>
      </w:pPr>
      <w:r>
        <w:rPr>
          <w:rFonts w:ascii="Arial" w:cs="Arial" w:eastAsia="Arial" w:hAnsi="Arial"/>
          <w:sz w:val="20"/>
          <w:szCs w:val="20"/>
          <w:color w:val="auto"/>
        </w:rPr>
        <w:t>Jenny Lake Lodge, Inc.</w:t>
      </w:r>
    </w:p>
    <w:p>
      <w:pPr>
        <w:ind w:left="3340"/>
        <w:spacing w:after="0"/>
        <w:rPr>
          <w:sz w:val="20"/>
          <w:szCs w:val="20"/>
          <w:color w:val="auto"/>
        </w:rPr>
      </w:pPr>
      <w:r>
        <w:rPr>
          <w:rFonts w:ascii="Arial" w:cs="Arial" w:eastAsia="Arial" w:hAnsi="Arial"/>
          <w:sz w:val="20"/>
          <w:szCs w:val="20"/>
          <w:color w:val="auto"/>
        </w:rPr>
        <w:t>Jenny Lake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3340"/>
        <w:spacing w:after="0"/>
        <w:rPr>
          <w:sz w:val="20"/>
          <w:szCs w:val="20"/>
          <w:color w:val="auto"/>
        </w:rPr>
      </w:pPr>
      <w:r>
        <w:rPr>
          <w:rFonts w:ascii="Arial" w:cs="Arial" w:eastAsia="Arial" w:hAnsi="Arial"/>
          <w:sz w:val="20"/>
          <w:szCs w:val="20"/>
          <w:color w:val="auto"/>
        </w:rPr>
        <w:t>JHL&amp;S LLC</w:t>
      </w:r>
    </w:p>
    <w:p>
      <w:pPr>
        <w:ind w:left="3340"/>
        <w:spacing w:after="0"/>
        <w:rPr>
          <w:sz w:val="20"/>
          <w:szCs w:val="20"/>
          <w:color w:val="auto"/>
        </w:rPr>
      </w:pPr>
      <w:r>
        <w:rPr>
          <w:rFonts w:ascii="Arial" w:cs="Arial" w:eastAsia="Arial" w:hAnsi="Arial"/>
          <w:sz w:val="20"/>
          <w:szCs w:val="20"/>
          <w:color w:val="auto"/>
        </w:rPr>
        <w:t>By: Teton Hospitality Services, Inc.</w:t>
      </w:r>
    </w:p>
    <w:p>
      <w:pPr>
        <w:ind w:left="3340"/>
        <w:spacing w:after="0"/>
        <w:rPr>
          <w:sz w:val="20"/>
          <w:szCs w:val="20"/>
          <w:color w:val="auto"/>
        </w:rPr>
      </w:pPr>
      <w:r>
        <w:rPr>
          <w:rFonts w:ascii="Arial" w:cs="Arial" w:eastAsia="Arial" w:hAnsi="Arial"/>
          <w:sz w:val="20"/>
          <w:szCs w:val="20"/>
          <w:color w:val="auto"/>
        </w:rPr>
        <w:t>Keystone Conference Services, Inc.</w:t>
      </w:r>
    </w:p>
    <w:p>
      <w:pPr>
        <w:ind w:left="3340"/>
        <w:spacing w:after="0"/>
        <w:rPr>
          <w:sz w:val="20"/>
          <w:szCs w:val="20"/>
          <w:color w:val="auto"/>
        </w:rPr>
      </w:pPr>
      <w:r>
        <w:rPr>
          <w:rFonts w:ascii="Arial" w:cs="Arial" w:eastAsia="Arial" w:hAnsi="Arial"/>
          <w:sz w:val="20"/>
          <w:szCs w:val="20"/>
          <w:color w:val="auto"/>
        </w:rPr>
        <w:t>Keystone Development Sales, Inc.</w:t>
      </w:r>
    </w:p>
    <w:p>
      <w:pPr>
        <w:ind w:left="3340"/>
        <w:spacing w:after="0"/>
        <w:rPr>
          <w:sz w:val="20"/>
          <w:szCs w:val="20"/>
          <w:color w:val="auto"/>
        </w:rPr>
      </w:pPr>
      <w:r>
        <w:rPr>
          <w:rFonts w:ascii="Arial" w:cs="Arial" w:eastAsia="Arial" w:hAnsi="Arial"/>
          <w:sz w:val="20"/>
          <w:szCs w:val="20"/>
          <w:color w:val="auto"/>
        </w:rPr>
        <w:t>Keystone Food &amp; Beverage Company</w:t>
      </w:r>
    </w:p>
    <w:p>
      <w:pPr>
        <w:ind w:left="3340"/>
        <w:spacing w:after="0"/>
        <w:rPr>
          <w:sz w:val="20"/>
          <w:szCs w:val="20"/>
          <w:color w:val="auto"/>
        </w:rPr>
      </w:pPr>
      <w:r>
        <w:rPr>
          <w:rFonts w:ascii="Arial" w:cs="Arial" w:eastAsia="Arial" w:hAnsi="Arial"/>
          <w:sz w:val="16"/>
          <w:szCs w:val="16"/>
          <w:color w:val="auto"/>
        </w:rPr>
        <w:t>Keystone Resort Property Management Company</w:t>
      </w:r>
    </w:p>
    <w:p>
      <w:pPr>
        <w:spacing w:after="0" w:line="4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Lake Tahoe Lodging Company</w:t>
      </w:r>
    </w:p>
    <w:p>
      <w:pPr>
        <w:ind w:left="3340"/>
        <w:spacing w:after="0"/>
        <w:rPr>
          <w:sz w:val="20"/>
          <w:szCs w:val="20"/>
          <w:color w:val="auto"/>
        </w:rPr>
      </w:pPr>
      <w:r>
        <w:rPr>
          <w:rFonts w:ascii="Arial" w:cs="Arial" w:eastAsia="Arial" w:hAnsi="Arial"/>
          <w:sz w:val="20"/>
          <w:szCs w:val="20"/>
          <w:color w:val="auto"/>
        </w:rPr>
        <w:t>Lodge Properties Inc.</w:t>
      </w:r>
    </w:p>
    <w:p>
      <w:pPr>
        <w:ind w:left="3340"/>
        <w:spacing w:after="0"/>
        <w:rPr>
          <w:sz w:val="20"/>
          <w:szCs w:val="20"/>
          <w:color w:val="auto"/>
        </w:rPr>
      </w:pPr>
      <w:r>
        <w:rPr>
          <w:rFonts w:ascii="Arial" w:cs="Arial" w:eastAsia="Arial" w:hAnsi="Arial"/>
          <w:sz w:val="20"/>
          <w:szCs w:val="20"/>
          <w:color w:val="auto"/>
        </w:rPr>
        <w:t>Lodge Realty, Inc.</w:t>
      </w:r>
    </w:p>
    <w:p>
      <w:pPr>
        <w:ind w:left="3340"/>
        <w:spacing w:after="0"/>
        <w:rPr>
          <w:sz w:val="20"/>
          <w:szCs w:val="20"/>
          <w:color w:val="auto"/>
        </w:rPr>
      </w:pPr>
      <w:r>
        <w:rPr>
          <w:rFonts w:ascii="Arial" w:cs="Arial" w:eastAsia="Arial" w:hAnsi="Arial"/>
          <w:sz w:val="20"/>
          <w:szCs w:val="20"/>
          <w:color w:val="auto"/>
        </w:rPr>
        <w:t>La Posada Beverage Service,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Mesa Verde Lodge Company</w:t>
      </w:r>
    </w:p>
    <w:p>
      <w:pPr>
        <w:ind w:left="3340"/>
        <w:spacing w:after="0"/>
        <w:rPr>
          <w:sz w:val="20"/>
          <w:szCs w:val="20"/>
          <w:color w:val="auto"/>
        </w:rPr>
      </w:pPr>
      <w:r>
        <w:rPr>
          <w:rFonts w:ascii="Arial" w:cs="Arial" w:eastAsia="Arial" w:hAnsi="Arial"/>
          <w:sz w:val="20"/>
          <w:szCs w:val="20"/>
          <w:color w:val="auto"/>
        </w:rPr>
        <w:t>National Park Hospitality Company</w:t>
      </w:r>
    </w:p>
    <w:p>
      <w:pPr>
        <w:ind w:left="3340"/>
        <w:spacing w:after="0"/>
        <w:rPr>
          <w:sz w:val="20"/>
          <w:szCs w:val="20"/>
          <w:color w:val="auto"/>
        </w:rPr>
      </w:pPr>
      <w:r>
        <w:rPr>
          <w:rFonts w:ascii="Arial" w:cs="Arial" w:eastAsia="Arial" w:hAnsi="Arial"/>
          <w:sz w:val="20"/>
          <w:szCs w:val="20"/>
          <w:color w:val="auto"/>
        </w:rPr>
        <w:t>Northstar Group Commercial Properties LLC</w:t>
      </w:r>
    </w:p>
    <w:p>
      <w:pPr>
        <w:ind w:left="3340"/>
        <w:spacing w:after="0"/>
        <w:rPr>
          <w:sz w:val="20"/>
          <w:szCs w:val="20"/>
          <w:color w:val="auto"/>
        </w:rPr>
      </w:pPr>
      <w:r>
        <w:rPr>
          <w:rFonts w:ascii="Arial" w:cs="Arial" w:eastAsia="Arial" w:hAnsi="Arial"/>
          <w:sz w:val="20"/>
          <w:szCs w:val="20"/>
          <w:color w:val="auto"/>
        </w:rPr>
        <w:t>By: VR Acquisition, Inc.</w:t>
      </w:r>
    </w:p>
    <w:p>
      <w:pPr>
        <w:ind w:left="3340"/>
        <w:spacing w:after="0"/>
        <w:rPr>
          <w:sz w:val="20"/>
          <w:szCs w:val="20"/>
          <w:color w:val="auto"/>
        </w:rPr>
      </w:pPr>
      <w:r>
        <w:rPr>
          <w:rFonts w:ascii="Arial" w:cs="Arial" w:eastAsia="Arial" w:hAnsi="Arial"/>
          <w:sz w:val="20"/>
          <w:szCs w:val="20"/>
          <w:color w:val="auto"/>
        </w:rPr>
        <w:t>Northstar Group Restaurant Properties, LLC</w:t>
      </w:r>
    </w:p>
    <w:p>
      <w:pPr>
        <w:ind w:left="3340"/>
        <w:spacing w:after="0"/>
        <w:rPr>
          <w:sz w:val="20"/>
          <w:szCs w:val="20"/>
          <w:color w:val="auto"/>
        </w:rPr>
      </w:pPr>
      <w:r>
        <w:rPr>
          <w:rFonts w:ascii="Arial" w:cs="Arial" w:eastAsia="Arial" w:hAnsi="Arial"/>
          <w:sz w:val="20"/>
          <w:szCs w:val="20"/>
          <w:color w:val="auto"/>
        </w:rPr>
        <w:t>By: VR Acquisition, Inc.</w:t>
      </w:r>
    </w:p>
    <w:p>
      <w:pPr>
        <w:ind w:left="3340"/>
        <w:spacing w:after="0"/>
        <w:rPr>
          <w:sz w:val="20"/>
          <w:szCs w:val="20"/>
          <w:color w:val="auto"/>
        </w:rPr>
      </w:pPr>
      <w:r>
        <w:rPr>
          <w:rFonts w:ascii="Arial" w:cs="Arial" w:eastAsia="Arial" w:hAnsi="Arial"/>
          <w:sz w:val="20"/>
          <w:szCs w:val="20"/>
          <w:color w:val="auto"/>
        </w:rPr>
        <w:t>One Ski Hill Place,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3340"/>
        <w:spacing w:after="0"/>
        <w:rPr>
          <w:sz w:val="20"/>
          <w:szCs w:val="20"/>
          <w:color w:val="auto"/>
        </w:rPr>
      </w:pPr>
      <w:r>
        <w:rPr>
          <w:rFonts w:ascii="Arial" w:cs="Arial" w:eastAsia="Arial" w:hAnsi="Arial"/>
          <w:sz w:val="19"/>
          <w:szCs w:val="19"/>
          <w:color w:val="auto"/>
        </w:rPr>
        <w:t>Property Management Acquisition Corp., Inc.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RCR Vail,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3340"/>
        <w:spacing w:after="0"/>
        <w:rPr>
          <w:sz w:val="20"/>
          <w:szCs w:val="20"/>
          <w:color w:val="auto"/>
        </w:rPr>
      </w:pPr>
      <w:r>
        <w:rPr>
          <w:rFonts w:ascii="Arial" w:cs="Arial" w:eastAsia="Arial" w:hAnsi="Arial"/>
          <w:sz w:val="20"/>
          <w:szCs w:val="20"/>
          <w:color w:val="auto"/>
        </w:rPr>
        <w:t>Rockresorts Arrabelle,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19"/>
          <w:szCs w:val="19"/>
          <w:color w:val="auto"/>
        </w:rPr>
        <w:t>Rockresorts Cordillera Lodge Company,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DR,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Equinox, Inc.</w:t>
      </w:r>
    </w:p>
    <w:p>
      <w:pPr>
        <w:ind w:left="3340"/>
        <w:spacing w:after="0"/>
        <w:rPr>
          <w:sz w:val="20"/>
          <w:szCs w:val="20"/>
          <w:color w:val="auto"/>
        </w:rPr>
      </w:pPr>
      <w:r>
        <w:rPr>
          <w:rFonts w:ascii="Arial" w:cs="Arial" w:eastAsia="Arial" w:hAnsi="Arial"/>
          <w:sz w:val="20"/>
          <w:szCs w:val="20"/>
          <w:color w:val="auto"/>
        </w:rPr>
        <w:t>Rockresorts Hotel Jerome,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18"/>
          <w:szCs w:val="18"/>
          <w:color w:val="auto"/>
        </w:rPr>
        <w:t>Rockresorts International Management Company</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Ski Tip,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Rockresorts Wyoming,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82" w:right="1440" w:bottom="1440" w:gutter="0" w:footer="0" w:header="0"/>
        </w:sectPr>
      </w:pPr>
    </w:p>
    <w:bookmarkStart w:id="59" w:name="page60"/>
    <w:bookmarkEnd w:id="59"/>
    <w:p>
      <w:pPr>
        <w:ind w:left="3340"/>
        <w:spacing w:after="0"/>
        <w:rPr>
          <w:sz w:val="20"/>
          <w:szCs w:val="20"/>
          <w:color w:val="auto"/>
        </w:rPr>
      </w:pPr>
      <w:r>
        <w:rPr>
          <w:rFonts w:ascii="Arial" w:cs="Arial" w:eastAsia="Arial" w:hAnsi="Arial"/>
          <w:sz w:val="20"/>
          <w:szCs w:val="20"/>
          <w:color w:val="auto"/>
        </w:rPr>
        <w:t>By: Rockresorts International,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Soho Development, LLC</w:t>
      </w:r>
    </w:p>
    <w:p>
      <w:pPr>
        <w:ind w:left="3340"/>
        <w:spacing w:after="0"/>
        <w:rPr>
          <w:sz w:val="20"/>
          <w:szCs w:val="20"/>
          <w:color w:val="auto"/>
        </w:rPr>
      </w:pPr>
      <w:r>
        <w:rPr>
          <w:rFonts w:ascii="Arial" w:cs="Arial" w:eastAsia="Arial" w:hAnsi="Arial"/>
          <w:sz w:val="20"/>
          <w:szCs w:val="20"/>
          <w:color w:val="auto"/>
        </w:rPr>
        <w:t>By: Vail Associates Holdings, Ltd.</w:t>
      </w:r>
    </w:p>
    <w:p>
      <w:pPr>
        <w:ind w:left="3340"/>
        <w:spacing w:after="0"/>
        <w:rPr>
          <w:sz w:val="20"/>
          <w:szCs w:val="20"/>
          <w:color w:val="auto"/>
        </w:rPr>
      </w:pPr>
      <w:r>
        <w:rPr>
          <w:rFonts w:ascii="Arial" w:cs="Arial" w:eastAsia="Arial" w:hAnsi="Arial"/>
          <w:sz w:val="20"/>
          <w:szCs w:val="20"/>
          <w:color w:val="auto"/>
        </w:rPr>
        <w:t>SSI Venture LLC</w:t>
      </w:r>
    </w:p>
    <w:p>
      <w:pPr>
        <w:ind w:left="3340"/>
        <w:spacing w:after="0"/>
        <w:rPr>
          <w:sz w:val="20"/>
          <w:szCs w:val="20"/>
          <w:color w:val="auto"/>
        </w:rPr>
      </w:pPr>
      <w:r>
        <w:rPr>
          <w:rFonts w:ascii="Arial" w:cs="Arial" w:eastAsia="Arial" w:hAnsi="Arial"/>
          <w:sz w:val="20"/>
          <w:szCs w:val="20"/>
          <w:color w:val="auto"/>
        </w:rPr>
        <w:t>By: SSV Holdings, Inc.</w:t>
      </w:r>
    </w:p>
    <w:p>
      <w:pPr>
        <w:ind w:left="3340"/>
        <w:spacing w:after="0"/>
        <w:rPr>
          <w:sz w:val="20"/>
          <w:szCs w:val="20"/>
          <w:color w:val="auto"/>
        </w:rPr>
      </w:pPr>
      <w:r>
        <w:rPr>
          <w:rFonts w:ascii="Arial" w:cs="Arial" w:eastAsia="Arial" w:hAnsi="Arial"/>
          <w:sz w:val="20"/>
          <w:szCs w:val="20"/>
          <w:color w:val="auto"/>
        </w:rPr>
        <w:t>SSV Online Holdings, Inc.</w:t>
      </w:r>
    </w:p>
    <w:p>
      <w:pPr>
        <w:ind w:left="3340"/>
        <w:spacing w:after="0"/>
        <w:rPr>
          <w:sz w:val="20"/>
          <w:szCs w:val="20"/>
          <w:color w:val="auto"/>
        </w:rPr>
      </w:pPr>
      <w:r>
        <w:rPr>
          <w:rFonts w:ascii="Arial" w:cs="Arial" w:eastAsia="Arial" w:hAnsi="Arial"/>
          <w:sz w:val="20"/>
          <w:szCs w:val="20"/>
          <w:color w:val="auto"/>
        </w:rPr>
        <w:t>SSV Online LLC</w:t>
      </w:r>
    </w:p>
    <w:p>
      <w:pPr>
        <w:ind w:left="3340"/>
        <w:spacing w:after="0"/>
        <w:rPr>
          <w:sz w:val="20"/>
          <w:szCs w:val="20"/>
          <w:color w:val="auto"/>
        </w:rPr>
      </w:pPr>
      <w:r>
        <w:rPr>
          <w:rFonts w:ascii="Arial" w:cs="Arial" w:eastAsia="Arial" w:hAnsi="Arial"/>
          <w:sz w:val="20"/>
          <w:szCs w:val="20"/>
          <w:color w:val="auto"/>
        </w:rPr>
        <w:t>By: SSV Holdings, Inc.</w:t>
      </w:r>
    </w:p>
    <w:p>
      <w:pPr>
        <w:ind w:left="3340"/>
        <w:spacing w:after="0"/>
        <w:rPr>
          <w:sz w:val="20"/>
          <w:szCs w:val="20"/>
          <w:color w:val="auto"/>
        </w:rPr>
      </w:pPr>
      <w:r>
        <w:rPr>
          <w:rFonts w:ascii="Arial" w:cs="Arial" w:eastAsia="Arial" w:hAnsi="Arial"/>
          <w:sz w:val="20"/>
          <w:szCs w:val="20"/>
          <w:color w:val="auto"/>
        </w:rPr>
        <w:t>SSV Holdings, Inc.</w:t>
      </w:r>
    </w:p>
    <w:p>
      <w:pPr>
        <w:ind w:left="3340"/>
        <w:spacing w:after="0"/>
        <w:rPr>
          <w:sz w:val="20"/>
          <w:szCs w:val="20"/>
          <w:color w:val="auto"/>
        </w:rPr>
      </w:pPr>
      <w:r>
        <w:rPr>
          <w:rFonts w:ascii="Arial" w:cs="Arial" w:eastAsia="Arial" w:hAnsi="Arial"/>
          <w:sz w:val="20"/>
          <w:szCs w:val="20"/>
          <w:color w:val="auto"/>
        </w:rPr>
        <w:t>Stampede Canteen, LLC</w:t>
      </w:r>
    </w:p>
    <w:p>
      <w:pPr>
        <w:ind w:left="3340"/>
        <w:spacing w:after="0"/>
        <w:rPr>
          <w:sz w:val="20"/>
          <w:szCs w:val="20"/>
          <w:color w:val="auto"/>
        </w:rPr>
      </w:pPr>
      <w:r>
        <w:rPr>
          <w:rFonts w:ascii="Arial" w:cs="Arial" w:eastAsia="Arial" w:hAnsi="Arial"/>
          <w:sz w:val="20"/>
          <w:szCs w:val="20"/>
          <w:color w:val="auto"/>
        </w:rPr>
        <w:t>By: Grand Teton Lodge Company</w:t>
      </w:r>
    </w:p>
    <w:p>
      <w:pPr>
        <w:ind w:left="3340"/>
        <w:spacing w:after="0"/>
        <w:rPr>
          <w:sz w:val="20"/>
          <w:szCs w:val="20"/>
          <w:color w:val="auto"/>
        </w:rPr>
      </w:pPr>
      <w:r>
        <w:rPr>
          <w:rFonts w:ascii="Arial" w:cs="Arial" w:eastAsia="Arial" w:hAnsi="Arial"/>
          <w:sz w:val="20"/>
          <w:szCs w:val="20"/>
          <w:color w:val="auto"/>
        </w:rPr>
        <w:t>Teton Hospitality Services, Inc.</w:t>
      </w:r>
    </w:p>
    <w:p>
      <w:pPr>
        <w:ind w:left="3340"/>
        <w:spacing w:after="0"/>
        <w:rPr>
          <w:sz w:val="20"/>
          <w:szCs w:val="20"/>
          <w:color w:val="auto"/>
        </w:rPr>
      </w:pPr>
      <w:r>
        <w:rPr>
          <w:rFonts w:ascii="Arial" w:cs="Arial" w:eastAsia="Arial" w:hAnsi="Arial"/>
          <w:sz w:val="20"/>
          <w:szCs w:val="20"/>
          <w:color w:val="auto"/>
        </w:rPr>
        <w:t>The Chalets at the Lodge at Vail,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3340"/>
        <w:spacing w:after="0"/>
        <w:rPr>
          <w:sz w:val="20"/>
          <w:szCs w:val="20"/>
          <w:color w:val="auto"/>
        </w:rPr>
      </w:pPr>
      <w:r>
        <w:rPr>
          <w:rFonts w:ascii="Arial" w:cs="Arial" w:eastAsia="Arial" w:hAnsi="Arial"/>
          <w:sz w:val="18"/>
          <w:szCs w:val="18"/>
          <w:color w:val="auto"/>
        </w:rPr>
        <w:t>The Vail Corporation (D/B/A “Vail Associates,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The Village at Breckenridge Acquisition Corp., Inc.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Trimont Land Company</w:t>
      </w:r>
    </w:p>
    <w:p>
      <w:pPr>
        <w:ind w:left="3340"/>
        <w:spacing w:after="0"/>
        <w:rPr>
          <w:sz w:val="20"/>
          <w:szCs w:val="20"/>
          <w:color w:val="auto"/>
        </w:rPr>
      </w:pPr>
      <w:r>
        <w:rPr>
          <w:rFonts w:ascii="Arial" w:cs="Arial" w:eastAsia="Arial" w:hAnsi="Arial"/>
          <w:sz w:val="20"/>
          <w:szCs w:val="20"/>
          <w:color w:val="auto"/>
        </w:rPr>
        <w:t>VA Rancho Mirage I, Inc.</w:t>
      </w:r>
    </w:p>
    <w:p>
      <w:pPr>
        <w:ind w:left="3340"/>
        <w:spacing w:after="0"/>
        <w:rPr>
          <w:sz w:val="20"/>
          <w:szCs w:val="20"/>
          <w:color w:val="auto"/>
        </w:rPr>
      </w:pPr>
      <w:r>
        <w:rPr>
          <w:rFonts w:ascii="Arial" w:cs="Arial" w:eastAsia="Arial" w:hAnsi="Arial"/>
          <w:sz w:val="20"/>
          <w:szCs w:val="20"/>
          <w:color w:val="auto"/>
        </w:rPr>
        <w:t>VA Rancho Mirage II, Inc.</w:t>
      </w:r>
    </w:p>
    <w:p>
      <w:pPr>
        <w:ind w:left="3340"/>
        <w:spacing w:after="0"/>
        <w:rPr>
          <w:sz w:val="20"/>
          <w:szCs w:val="20"/>
          <w:color w:val="auto"/>
        </w:rPr>
      </w:pPr>
      <w:r>
        <w:rPr>
          <w:rFonts w:ascii="Arial" w:cs="Arial" w:eastAsia="Arial" w:hAnsi="Arial"/>
          <w:sz w:val="20"/>
          <w:szCs w:val="20"/>
          <w:color w:val="auto"/>
        </w:rPr>
        <w:t>VA Rancho Mirage Resort, L.P.</w:t>
      </w:r>
    </w:p>
    <w:p>
      <w:pPr>
        <w:ind w:left="3340"/>
        <w:spacing w:after="0"/>
        <w:rPr>
          <w:sz w:val="20"/>
          <w:szCs w:val="20"/>
          <w:color w:val="auto"/>
        </w:rPr>
      </w:pPr>
      <w:r>
        <w:rPr>
          <w:rFonts w:ascii="Arial" w:cs="Arial" w:eastAsia="Arial" w:hAnsi="Arial"/>
          <w:sz w:val="20"/>
          <w:szCs w:val="20"/>
          <w:color w:val="auto"/>
        </w:rPr>
        <w:t>By: VA Rancho Mirage I, Inc.</w:t>
      </w:r>
    </w:p>
    <w:p>
      <w:pPr>
        <w:ind w:left="3340"/>
        <w:spacing w:after="0"/>
        <w:rPr>
          <w:sz w:val="20"/>
          <w:szCs w:val="20"/>
          <w:color w:val="auto"/>
        </w:rPr>
      </w:pPr>
      <w:r>
        <w:rPr>
          <w:rFonts w:ascii="Arial" w:cs="Arial" w:eastAsia="Arial" w:hAnsi="Arial"/>
          <w:sz w:val="20"/>
          <w:szCs w:val="20"/>
          <w:color w:val="auto"/>
        </w:rPr>
        <w:t>Vail/Arrowhead, Inc.</w:t>
      </w:r>
    </w:p>
    <w:p>
      <w:pPr>
        <w:ind w:left="3340"/>
        <w:spacing w:after="0"/>
        <w:rPr>
          <w:sz w:val="20"/>
          <w:szCs w:val="20"/>
          <w:color w:val="auto"/>
        </w:rPr>
      </w:pPr>
      <w:r>
        <w:rPr>
          <w:rFonts w:ascii="Arial" w:cs="Arial" w:eastAsia="Arial" w:hAnsi="Arial"/>
          <w:sz w:val="20"/>
          <w:szCs w:val="20"/>
          <w:color w:val="auto"/>
        </w:rPr>
        <w:t>Vail Associates Holdings, Ltd.</w:t>
      </w:r>
    </w:p>
    <w:p>
      <w:pPr>
        <w:ind w:left="3340"/>
        <w:spacing w:after="0"/>
        <w:rPr>
          <w:sz w:val="20"/>
          <w:szCs w:val="20"/>
          <w:color w:val="auto"/>
        </w:rPr>
      </w:pPr>
      <w:r>
        <w:rPr>
          <w:rFonts w:ascii="Arial" w:cs="Arial" w:eastAsia="Arial" w:hAnsi="Arial"/>
          <w:sz w:val="20"/>
          <w:szCs w:val="20"/>
          <w:color w:val="auto"/>
        </w:rPr>
        <w:t>Vail Associates Investments, Inc.</w:t>
      </w:r>
    </w:p>
    <w:p>
      <w:pPr>
        <w:ind w:left="3340"/>
        <w:spacing w:after="0"/>
        <w:rPr>
          <w:sz w:val="20"/>
          <w:szCs w:val="20"/>
          <w:color w:val="auto"/>
        </w:rPr>
      </w:pPr>
      <w:r>
        <w:rPr>
          <w:rFonts w:ascii="Arial" w:cs="Arial" w:eastAsia="Arial" w:hAnsi="Arial"/>
          <w:sz w:val="20"/>
          <w:szCs w:val="20"/>
          <w:color w:val="auto"/>
        </w:rPr>
        <w:t>Vail Associates Real Estate, Inc.</w:t>
      </w:r>
    </w:p>
    <w:p>
      <w:pPr>
        <w:ind w:left="3340"/>
        <w:spacing w:after="0"/>
        <w:rPr>
          <w:sz w:val="20"/>
          <w:szCs w:val="20"/>
          <w:color w:val="auto"/>
        </w:rPr>
      </w:pPr>
      <w:r>
        <w:rPr>
          <w:rFonts w:ascii="Arial" w:cs="Arial" w:eastAsia="Arial" w:hAnsi="Arial"/>
          <w:sz w:val="20"/>
          <w:szCs w:val="20"/>
          <w:color w:val="auto"/>
        </w:rPr>
        <w:t>Vail/Beaver Creek Resort Properties, Inc.</w:t>
      </w:r>
    </w:p>
    <w:p>
      <w:pPr>
        <w:ind w:left="3340"/>
        <w:spacing w:after="0"/>
        <w:rPr>
          <w:sz w:val="20"/>
          <w:szCs w:val="20"/>
          <w:color w:val="auto"/>
        </w:rPr>
      </w:pPr>
      <w:r>
        <w:rPr>
          <w:rFonts w:ascii="Arial" w:cs="Arial" w:eastAsia="Arial" w:hAnsi="Arial"/>
          <w:sz w:val="20"/>
          <w:szCs w:val="20"/>
          <w:color w:val="auto"/>
        </w:rPr>
        <w:t>Vail Food Services, Inc.</w:t>
      </w:r>
    </w:p>
    <w:p>
      <w:pPr>
        <w:ind w:left="3340"/>
        <w:spacing w:after="0"/>
        <w:rPr>
          <w:sz w:val="20"/>
          <w:szCs w:val="20"/>
          <w:color w:val="auto"/>
        </w:rPr>
      </w:pPr>
      <w:r>
        <w:rPr>
          <w:rFonts w:ascii="Arial" w:cs="Arial" w:eastAsia="Arial" w:hAnsi="Arial"/>
          <w:sz w:val="20"/>
          <w:szCs w:val="20"/>
          <w:color w:val="auto"/>
        </w:rPr>
        <w:t>Vail Hotel Management Company,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3340"/>
        <w:spacing w:after="0"/>
        <w:rPr>
          <w:sz w:val="20"/>
          <w:szCs w:val="20"/>
          <w:color w:val="auto"/>
        </w:rPr>
      </w:pPr>
      <w:r>
        <w:rPr>
          <w:rFonts w:ascii="Arial" w:cs="Arial" w:eastAsia="Arial" w:hAnsi="Arial"/>
          <w:sz w:val="20"/>
          <w:szCs w:val="20"/>
          <w:color w:val="auto"/>
        </w:rPr>
        <w:t>Vail Resorts Development Company</w:t>
      </w:r>
    </w:p>
    <w:p>
      <w:pPr>
        <w:ind w:left="3340"/>
        <w:spacing w:after="0"/>
        <w:rPr>
          <w:sz w:val="20"/>
          <w:szCs w:val="20"/>
          <w:color w:val="auto"/>
        </w:rPr>
      </w:pPr>
      <w:r>
        <w:rPr>
          <w:rFonts w:ascii="Arial" w:cs="Arial" w:eastAsia="Arial" w:hAnsi="Arial"/>
          <w:sz w:val="20"/>
          <w:szCs w:val="20"/>
          <w:color w:val="auto"/>
        </w:rPr>
        <w:t>Vail Resorts Lodging Company</w:t>
      </w:r>
    </w:p>
    <w:p>
      <w:pPr>
        <w:ind w:left="3340"/>
        <w:spacing w:after="0"/>
        <w:rPr>
          <w:sz w:val="20"/>
          <w:szCs w:val="20"/>
          <w:color w:val="auto"/>
        </w:rPr>
      </w:pPr>
      <w:r>
        <w:rPr>
          <w:rFonts w:ascii="Arial" w:cs="Arial" w:eastAsia="Arial" w:hAnsi="Arial"/>
          <w:sz w:val="20"/>
          <w:szCs w:val="20"/>
          <w:color w:val="auto"/>
        </w:rPr>
        <w:t>Vail RR, Inc.</w:t>
      </w:r>
    </w:p>
    <w:p>
      <w:pPr>
        <w:ind w:left="3340"/>
        <w:spacing w:after="0"/>
        <w:rPr>
          <w:sz w:val="20"/>
          <w:szCs w:val="20"/>
          <w:color w:val="auto"/>
        </w:rPr>
      </w:pPr>
      <w:r>
        <w:rPr>
          <w:rFonts w:ascii="Arial" w:cs="Arial" w:eastAsia="Arial" w:hAnsi="Arial"/>
          <w:sz w:val="20"/>
          <w:szCs w:val="20"/>
          <w:color w:val="auto"/>
        </w:rPr>
        <w:t>Vail Summit Resorts, Inc.</w:t>
      </w:r>
    </w:p>
    <w:p>
      <w:pPr>
        <w:ind w:left="3340"/>
        <w:spacing w:after="0"/>
        <w:rPr>
          <w:sz w:val="20"/>
          <w:szCs w:val="20"/>
          <w:color w:val="auto"/>
        </w:rPr>
      </w:pPr>
      <w:r>
        <w:rPr>
          <w:rFonts w:ascii="Arial" w:cs="Arial" w:eastAsia="Arial" w:hAnsi="Arial"/>
          <w:sz w:val="20"/>
          <w:szCs w:val="20"/>
          <w:color w:val="auto"/>
        </w:rPr>
        <w:t>Vail Trademarks, Inc.</w:t>
      </w:r>
    </w:p>
    <w:p>
      <w:pPr>
        <w:ind w:left="3340"/>
        <w:spacing w:after="0"/>
        <w:rPr>
          <w:sz w:val="20"/>
          <w:szCs w:val="20"/>
          <w:color w:val="auto"/>
        </w:rPr>
      </w:pPr>
      <w:r>
        <w:rPr>
          <w:rFonts w:ascii="Arial" w:cs="Arial" w:eastAsia="Arial" w:hAnsi="Arial"/>
          <w:sz w:val="20"/>
          <w:szCs w:val="20"/>
          <w:color w:val="auto"/>
        </w:rPr>
        <w:t>VAMHC, Inc.</w:t>
      </w:r>
    </w:p>
    <w:p>
      <w:pPr>
        <w:ind w:left="3340"/>
        <w:spacing w:after="0"/>
        <w:rPr>
          <w:sz w:val="20"/>
          <w:szCs w:val="20"/>
          <w:color w:val="auto"/>
        </w:rPr>
      </w:pPr>
      <w:r>
        <w:rPr>
          <w:rFonts w:ascii="Arial" w:cs="Arial" w:eastAsia="Arial" w:hAnsi="Arial"/>
          <w:sz w:val="20"/>
          <w:szCs w:val="20"/>
          <w:color w:val="auto"/>
        </w:rPr>
        <w:t>VR Acquisition, Inc.</w:t>
      </w:r>
    </w:p>
    <w:p>
      <w:pPr>
        <w:ind w:left="3340"/>
        <w:spacing w:after="0"/>
        <w:rPr>
          <w:sz w:val="20"/>
          <w:szCs w:val="20"/>
          <w:color w:val="auto"/>
        </w:rPr>
      </w:pPr>
      <w:r>
        <w:rPr>
          <w:rFonts w:ascii="Arial" w:cs="Arial" w:eastAsia="Arial" w:hAnsi="Arial"/>
          <w:sz w:val="20"/>
          <w:szCs w:val="20"/>
          <w:color w:val="auto"/>
        </w:rPr>
        <w:t>VR Australia Holdings Pty Ltd.</w:t>
      </w:r>
    </w:p>
    <w:p>
      <w:pPr>
        <w:ind w:left="3340"/>
        <w:spacing w:after="0"/>
        <w:rPr>
          <w:sz w:val="20"/>
          <w:szCs w:val="20"/>
          <w:color w:val="auto"/>
        </w:rPr>
      </w:pPr>
      <w:r>
        <w:rPr>
          <w:rFonts w:ascii="Arial" w:cs="Arial" w:eastAsia="Arial" w:hAnsi="Arial"/>
          <w:sz w:val="20"/>
          <w:szCs w:val="20"/>
          <w:color w:val="auto"/>
        </w:rPr>
        <w:t>VR CPC Holdings, Inc.</w:t>
      </w:r>
    </w:p>
    <w:p>
      <w:pPr>
        <w:ind w:left="3340"/>
        <w:spacing w:after="0"/>
        <w:rPr>
          <w:sz w:val="20"/>
          <w:szCs w:val="20"/>
          <w:color w:val="auto"/>
        </w:rPr>
      </w:pPr>
      <w:r>
        <w:rPr>
          <w:rFonts w:ascii="Arial" w:cs="Arial" w:eastAsia="Arial" w:hAnsi="Arial"/>
          <w:sz w:val="20"/>
          <w:szCs w:val="20"/>
          <w:color w:val="auto"/>
        </w:rPr>
        <w:t>VR Heavenly Concessions, Inc.</w:t>
      </w:r>
    </w:p>
    <w:p>
      <w:pPr>
        <w:ind w:left="3340"/>
        <w:spacing w:after="0"/>
        <w:rPr>
          <w:sz w:val="20"/>
          <w:szCs w:val="20"/>
          <w:color w:val="auto"/>
        </w:rPr>
      </w:pPr>
      <w:r>
        <w:rPr>
          <w:rFonts w:ascii="Arial" w:cs="Arial" w:eastAsia="Arial" w:hAnsi="Arial"/>
          <w:sz w:val="20"/>
          <w:szCs w:val="20"/>
          <w:color w:val="auto"/>
        </w:rPr>
        <w:t>VR Heavenly I, Inc.</w:t>
      </w:r>
    </w:p>
    <w:p>
      <w:pPr>
        <w:ind w:left="3340"/>
        <w:spacing w:after="0"/>
        <w:rPr>
          <w:sz w:val="20"/>
          <w:szCs w:val="20"/>
          <w:color w:val="auto"/>
        </w:rPr>
      </w:pPr>
      <w:r>
        <w:rPr>
          <w:rFonts w:ascii="Arial" w:cs="Arial" w:eastAsia="Arial" w:hAnsi="Arial"/>
          <w:sz w:val="20"/>
          <w:szCs w:val="20"/>
          <w:color w:val="auto"/>
        </w:rPr>
        <w:t>VR Heavenly II, Inc.</w:t>
      </w:r>
    </w:p>
    <w:p>
      <w:pPr>
        <w:ind w:left="3340"/>
        <w:spacing w:after="0"/>
        <w:rPr>
          <w:sz w:val="20"/>
          <w:szCs w:val="20"/>
          <w:color w:val="auto"/>
        </w:rPr>
      </w:pPr>
      <w:r>
        <w:rPr>
          <w:rFonts w:ascii="Arial" w:cs="Arial" w:eastAsia="Arial" w:hAnsi="Arial"/>
          <w:sz w:val="20"/>
          <w:szCs w:val="20"/>
          <w:color w:val="auto"/>
        </w:rPr>
        <w:t>VR Holdings, Inc.</w:t>
      </w:r>
    </w:p>
    <w:p>
      <w:pPr>
        <w:ind w:left="3340"/>
        <w:spacing w:after="0"/>
        <w:rPr>
          <w:sz w:val="20"/>
          <w:szCs w:val="20"/>
          <w:color w:val="auto"/>
        </w:rPr>
      </w:pPr>
      <w:r>
        <w:rPr>
          <w:rFonts w:ascii="Arial" w:cs="Arial" w:eastAsia="Arial" w:hAnsi="Arial"/>
          <w:sz w:val="20"/>
          <w:szCs w:val="20"/>
          <w:color w:val="auto"/>
        </w:rPr>
        <w:t>VR US Holdings, Inc.</w:t>
      </w:r>
    </w:p>
    <w:p>
      <w:pPr>
        <w:ind w:left="3340"/>
        <w:spacing w:after="0"/>
        <w:rPr>
          <w:sz w:val="20"/>
          <w:szCs w:val="20"/>
          <w:color w:val="auto"/>
        </w:rPr>
      </w:pPr>
      <w:r>
        <w:rPr>
          <w:rFonts w:ascii="Arial" w:cs="Arial" w:eastAsia="Arial" w:hAnsi="Arial"/>
          <w:sz w:val="20"/>
          <w:szCs w:val="20"/>
          <w:color w:val="auto"/>
        </w:rPr>
        <w:t>Zion Lodge Company</w:t>
      </w:r>
    </w:p>
    <w:p>
      <w:pPr>
        <w:spacing w:after="0" w:line="200" w:lineRule="exact"/>
        <w:rPr>
          <w:sz w:val="20"/>
          <w:szCs w:val="20"/>
          <w:color w:val="auto"/>
        </w:rPr>
      </w:pPr>
    </w:p>
    <w:p>
      <w:pPr>
        <w:ind w:left="400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Mark L. Schoppet</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Mark L. Schoppet</w:t>
      </w:r>
    </w:p>
    <w:p>
      <w:pPr>
        <w:ind w:left="4000"/>
        <w:spacing w:after="0"/>
        <w:rPr>
          <w:sz w:val="20"/>
          <w:szCs w:val="20"/>
          <w:color w:val="auto"/>
        </w:rPr>
      </w:pPr>
      <w:r>
        <w:rPr>
          <w:rFonts w:ascii="Arial" w:cs="Arial" w:eastAsia="Arial" w:hAnsi="Arial"/>
          <w:sz w:val="18"/>
          <w:szCs w:val="18"/>
          <w:color w:val="auto"/>
        </w:rPr>
        <w:t>Title: Senior Vice President, Controller and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582"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60" w:hanging="201"/>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60" w:hanging="195"/>
        <w:spacing w:after="0" w:line="29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60" w:hanging="201"/>
        <w:spacing w:after="0" w:line="277"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2015</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60" w:hanging="201"/>
        <w:spacing w:after="0" w:line="264"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60" w:hanging="195"/>
        <w:spacing w:after="0" w:line="29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60" w:hanging="201"/>
        <w:spacing w:after="0" w:line="277"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2015</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2015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2015</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2015</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0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lvl w:ilvl="1">
      <w:lvlJc w:val="left"/>
      <w:lvlText w:val="(%2)"/>
      <w:numFmt w:val="lowerLetter"/>
      <w:start w:val="2"/>
    </w:lvl>
  </w:abstractNum>
  <w:abstractNum w:abstractNumId="22">
    <w:nsid w:val="8EDBDAB"/>
    <w:multiLevelType w:val="hybridMultilevel"/>
    <w:lvl w:ilvl="0">
      <w:lvlJc w:val="left"/>
      <w:lvlText w:val="%1."/>
      <w:numFmt w:val="decimal"/>
      <w:start w:val="2"/>
    </w:lvl>
    <w:lvl w:ilvl="1">
      <w:lvlJc w:val="left"/>
      <w:lvlText w:val="%2"/>
      <w:numFmt w:val="lowerLetter"/>
      <w:start w:val="1"/>
    </w:lvl>
  </w:abstractNum>
  <w:abstractNum w:abstractNumId="23">
    <w:nsid w:val="79838CB2"/>
    <w:multiLevelType w:val="hybridMultilevel"/>
    <w:lvl w:ilvl="0">
      <w:lvlJc w:val="left"/>
      <w:lvlText w:val="%1."/>
      <w:numFmt w:val="decimal"/>
      <w:start w:val="3"/>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2019-12-29T13:25:08Z</dcterms:created>
  <dcterms:modified xsi:type="dcterms:W3CDTF">2019-12-29T13:25:08Z</dcterms:modified>
</cp:coreProperties>
</file>