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6"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30, 2016</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001-09614</w:t>
      </w:r>
    </w:p>
    <w:p>
      <w:pPr>
        <w:spacing w:after="0" w:line="36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35"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tcPr>
          <w:p>
            <w:pPr>
              <w:jc w:val="right"/>
              <w:ind w:right="40"/>
              <w:spacing w:after="0"/>
              <w:rPr>
                <w:sz w:val="20"/>
                <w:szCs w:val="20"/>
                <w:color w:val="auto"/>
              </w:rPr>
            </w:pPr>
            <w:r>
              <w:rPr>
                <w:rFonts w:ascii="Arial" w:cs="Arial" w:eastAsia="Arial" w:hAnsi="Arial"/>
                <w:sz w:val="18"/>
                <w:szCs w:val="18"/>
                <w:b w:val="1"/>
                <w:bCs w:val="1"/>
                <w:color w:val="auto"/>
              </w:rPr>
              <w:t>51-0291762</w:t>
            </w:r>
          </w:p>
        </w:tc>
      </w:tr>
      <w:tr>
        <w:trPr>
          <w:trHeight w:val="180"/>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390 Interlocken Crescent</w:t>
            </w:r>
          </w:p>
        </w:tc>
        <w:tc>
          <w:tcPr>
            <w:tcW w:w="5360" w:type="dxa"/>
            <w:vAlign w:val="bottom"/>
          </w:tcPr>
          <w:p>
            <w:pPr>
              <w:spacing w:after="0"/>
              <w:rPr>
                <w:sz w:val="24"/>
                <w:szCs w:val="24"/>
                <w:color w:val="auto"/>
              </w:rPr>
            </w:pPr>
          </w:p>
        </w:tc>
      </w:t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Broomfield, Colorado</w:t>
            </w:r>
          </w:p>
        </w:tc>
        <w:tc>
          <w:tcPr>
            <w:tcW w:w="5360" w:type="dxa"/>
            <w:vAlign w:val="bottom"/>
          </w:tcPr>
          <w:p>
            <w:pPr>
              <w:jc w:val="right"/>
              <w:ind w:right="260"/>
              <w:spacing w:after="0"/>
              <w:rPr>
                <w:sz w:val="20"/>
                <w:szCs w:val="20"/>
                <w:color w:val="auto"/>
              </w:rPr>
            </w:pPr>
            <w:r>
              <w:rPr>
                <w:rFonts w:ascii="Arial" w:cs="Arial" w:eastAsia="Arial" w:hAnsi="Arial"/>
                <w:sz w:val="18"/>
                <w:szCs w:val="18"/>
                <w:b w:val="1"/>
                <w:bCs w:val="1"/>
                <w:color w:val="auto"/>
              </w:rPr>
              <w:t>80021</w:t>
            </w:r>
          </w:p>
        </w:tc>
      </w:tr>
      <w:tr>
        <w:trPr>
          <w:trHeight w:val="218"/>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80" w:type="dxa"/>
            <w:vAlign w:val="bottom"/>
          </w:tcPr>
          <w:p>
            <w:pPr>
              <w:spacing w:after="0"/>
              <w:rPr>
                <w:sz w:val="24"/>
                <w:szCs w:val="24"/>
                <w:color w:val="auto"/>
              </w:rPr>
            </w:pPr>
          </w:p>
        </w:tc>
        <w:tc>
          <w:tcPr>
            <w:tcW w:w="5360" w:type="dxa"/>
            <w:vAlign w:val="bottom"/>
          </w:tcPr>
          <w:p>
            <w:pPr>
              <w:jc w:val="right"/>
              <w:ind w:right="3000"/>
              <w:spacing w:after="0"/>
              <w:rPr>
                <w:sz w:val="20"/>
                <w:szCs w:val="20"/>
                <w:color w:val="auto"/>
              </w:rPr>
            </w:pPr>
            <w:r>
              <w:rPr>
                <w:rFonts w:ascii="Arial" w:cs="Arial" w:eastAsia="Arial" w:hAnsi="Arial"/>
                <w:sz w:val="18"/>
                <w:szCs w:val="18"/>
                <w:b w:val="1"/>
                <w:bCs w:val="1"/>
                <w:color w:val="auto"/>
              </w:rPr>
              <w:t>(303) 404-1800</w:t>
            </w:r>
          </w:p>
        </w:tc>
      </w:tr>
      <w:tr>
        <w:trPr>
          <w:trHeight w:val="186"/>
        </w:trPr>
        <w:tc>
          <w:tcPr>
            <w:tcW w:w="2480" w:type="dxa"/>
            <w:vAlign w:val="bottom"/>
          </w:tcPr>
          <w:p>
            <w:pPr>
              <w:spacing w:after="0"/>
              <w:rPr>
                <w:sz w:val="16"/>
                <w:szCs w:val="16"/>
                <w:color w:val="auto"/>
              </w:rPr>
            </w:pPr>
          </w:p>
        </w:tc>
        <w:tc>
          <w:tcPr>
            <w:tcW w:w="53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bl>
    <w:p>
      <w:pPr>
        <w:spacing w:after="0" w:line="349"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33"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4">
            <w:col w:w="1780" w:space="720"/>
            <w:col w:w="4680" w:space="720"/>
            <w:col w:w="2200" w:space="720"/>
            <w:col w:w="600"/>
          </w:cols>
          <w:pgMar w:left="240" w:top="733" w:right="23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780" w:space="720"/>
            <w:col w:w="160" w:space="100"/>
            <w:col w:w="4420" w:space="720"/>
            <w:col w:w="2200" w:space="720"/>
            <w:col w:w="600"/>
          </w:cols>
          <w:pgMar w:left="240" w:top="733" w:right="239" w:bottom="1440" w:gutter="0" w:footer="0" w:header="0"/>
          <w:type w:val="continuous"/>
        </w:sectPr>
      </w:pPr>
    </w:p>
    <w:p>
      <w:pPr>
        <w:spacing w:after="0" w:line="3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3" w:lineRule="exact"/>
        <w:rPr>
          <w:sz w:val="24"/>
          <w:szCs w:val="24"/>
          <w:color w:val="auto"/>
        </w:rPr>
      </w:pPr>
    </w:p>
    <w:p>
      <w:pPr>
        <w:sectPr>
          <w:pgSz w:w="11900" w:h="16838" w:orient="portrait"/>
          <w:cols w:equalWidth="0" w:num="3">
            <w:col w:w="8620" w:space="180"/>
            <w:col w:w="500" w:space="180"/>
            <w:col w:w="1940"/>
          </w:cols>
          <w:pgMar w:left="240" w:top="7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June 6, 2016, 36,163,420 shares of the registrant’s common stock were outstanding.</w:t>
      </w:r>
    </w:p>
    <w:p>
      <w:pPr>
        <w:sectPr>
          <w:pgSz w:w="11900" w:h="16838" w:orient="portrait"/>
          <w:cols w:equalWidth="0" w:num="1">
            <w:col w:w="11420"/>
          </w:cols>
          <w:pgMar w:left="240" w:top="7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340" w:type="dxa"/>
            <w:vAlign w:val="bottom"/>
            <w:gridSpan w:val="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891"/>
        </w:trPr>
        <w:tc>
          <w:tcPr>
            <w:tcW w:w="8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40" w:type="dxa"/>
            <w:vAlign w:val="bottom"/>
            <w:gridSpan w:val="15"/>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15"/>
          </w:tcPr>
          <w:p>
            <w:pPr>
              <w:spacing w:after="0"/>
              <w:rPr>
                <w:sz w:val="20"/>
                <w:szCs w:val="20"/>
                <w:color w:val="auto"/>
              </w:rPr>
            </w:pPr>
            <w:r>
              <w:rPr>
                <w:rFonts w:ascii="Arial" w:cs="Arial" w:eastAsia="Arial" w:hAnsi="Arial"/>
                <w:sz w:val="18"/>
                <w:szCs w:val="18"/>
                <w:color w:val="auto"/>
              </w:rPr>
              <w:t>Financial Statements (unaudited).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880" w:type="dxa"/>
            <w:vAlign w:val="bottom"/>
          </w:tcPr>
          <w:p>
            <w:pPr>
              <w:spacing w:after="0"/>
              <w:rPr>
                <w:sz w:val="19"/>
                <w:szCs w:val="19"/>
                <w:color w:val="auto"/>
              </w:rPr>
            </w:pPr>
          </w:p>
        </w:tc>
        <w:tc>
          <w:tcPr>
            <w:tcW w:w="934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Condensed Balance Sheets as of April 30, 2016, July 31, 2015 and April 30, 2015</w:t>
              </w:r>
            </w:hyperlink>
          </w:p>
        </w:tc>
        <w:tc>
          <w:tcPr>
            <w:tcW w:w="7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8200" w:type="dxa"/>
            <w:vAlign w:val="bottom"/>
            <w:gridSpan w:val="1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Condensed Statements of Operations for the Three and Nine Months Ended April 30, 2016 and 2015</w:t>
              </w:r>
            </w:hyperlink>
          </w:p>
        </w:tc>
        <w:tc>
          <w:tcPr>
            <w:tcW w:w="1140" w:type="dxa"/>
            <w:vAlign w:val="bottom"/>
            <w:gridSpan w:val="2"/>
          </w:tcPr>
          <w:p>
            <w:pPr>
              <w:spacing w:after="0"/>
              <w:rPr>
                <w:sz w:val="21"/>
                <w:szCs w:val="21"/>
                <w:color w:val="auto"/>
              </w:rPr>
            </w:pPr>
          </w:p>
        </w:tc>
        <w:tc>
          <w:tcPr>
            <w:tcW w:w="74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9340" w:type="dxa"/>
            <w:vAlign w:val="bottom"/>
            <w:gridSpan w:val="15"/>
          </w:tcPr>
          <w:p>
            <w:pPr>
              <w:spacing w:after="0"/>
              <w:rPr>
                <w:rFonts w:ascii="Arial" w:cs="Arial" w:eastAsia="Arial" w:hAnsi="Arial"/>
                <w:sz w:val="18"/>
                <w:szCs w:val="18"/>
                <w:color w:val="0000FF"/>
                <w:w w:val="96"/>
              </w:rPr>
            </w:pPr>
            <w:hyperlink w:anchor="page5">
              <w:r>
                <w:rPr>
                  <w:rFonts w:ascii="Arial" w:cs="Arial" w:eastAsia="Arial" w:hAnsi="Arial"/>
                  <w:sz w:val="18"/>
                  <w:szCs w:val="18"/>
                  <w:color w:val="0000FF"/>
                  <w:w w:val="96"/>
                </w:rPr>
                <w:t>Consolidated Condensed Statements of Comprehensive Income for the Three and Nine Months Ended April 30, 2016 and</w:t>
              </w:r>
            </w:hyperlink>
          </w:p>
        </w:tc>
        <w:tc>
          <w:tcPr>
            <w:tcW w:w="74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196"/>
        </w:trPr>
        <w:tc>
          <w:tcPr>
            <w:tcW w:w="8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2015</w:t>
              </w:r>
            </w:hyperlink>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250"/>
        </w:trPr>
        <w:tc>
          <w:tcPr>
            <w:tcW w:w="880" w:type="dxa"/>
            <w:vAlign w:val="bottom"/>
          </w:tcPr>
          <w:p>
            <w:pPr>
              <w:spacing w:after="0"/>
              <w:rPr>
                <w:sz w:val="21"/>
                <w:szCs w:val="21"/>
                <w:color w:val="auto"/>
              </w:rPr>
            </w:pPr>
          </w:p>
        </w:tc>
        <w:tc>
          <w:tcPr>
            <w:tcW w:w="8200" w:type="dxa"/>
            <w:vAlign w:val="bottom"/>
            <w:gridSpan w:val="13"/>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Consolidated Condensed Statements of Stockholders' Equity for the Nine Months Ended April 30, 2016 and 2015</w:t>
              </w:r>
            </w:hyperlink>
          </w:p>
        </w:tc>
        <w:tc>
          <w:tcPr>
            <w:tcW w:w="1140" w:type="dxa"/>
            <w:vAlign w:val="bottom"/>
            <w:gridSpan w:val="2"/>
          </w:tcPr>
          <w:p>
            <w:pPr>
              <w:spacing w:after="0"/>
              <w:rPr>
                <w:sz w:val="21"/>
                <w:szCs w:val="21"/>
                <w:color w:val="auto"/>
              </w:rPr>
            </w:pPr>
          </w:p>
        </w:tc>
        <w:tc>
          <w:tcPr>
            <w:tcW w:w="74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8200" w:type="dxa"/>
            <w:vAlign w:val="bottom"/>
            <w:gridSpan w:val="13"/>
          </w:tcPr>
          <w:p>
            <w:pPr>
              <w:spacing w:after="0"/>
              <w:rPr>
                <w:rFonts w:ascii="Arial" w:cs="Arial" w:eastAsia="Arial" w:hAnsi="Arial"/>
                <w:sz w:val="18"/>
                <w:szCs w:val="18"/>
                <w:color w:val="0000FF"/>
                <w:w w:val="98"/>
              </w:rPr>
            </w:pPr>
            <w:hyperlink w:anchor="page7">
              <w:r>
                <w:rPr>
                  <w:rFonts w:ascii="Arial" w:cs="Arial" w:eastAsia="Arial" w:hAnsi="Arial"/>
                  <w:sz w:val="18"/>
                  <w:szCs w:val="18"/>
                  <w:color w:val="0000FF"/>
                  <w:w w:val="98"/>
                </w:rPr>
                <w:t>Consolidated Condensed Statements of Cash Flows for the Nine Months Ended April 30, 2016 and 2015</w:t>
              </w:r>
            </w:hyperlink>
          </w:p>
        </w:tc>
        <w:tc>
          <w:tcPr>
            <w:tcW w:w="1140" w:type="dxa"/>
            <w:vAlign w:val="bottom"/>
            <w:gridSpan w:val="2"/>
          </w:tcPr>
          <w:p>
            <w:pPr>
              <w:spacing w:after="0"/>
              <w:rPr>
                <w:sz w:val="21"/>
                <w:szCs w:val="21"/>
                <w:color w:val="auto"/>
              </w:rPr>
            </w:pPr>
          </w:p>
        </w:tc>
        <w:tc>
          <w:tcPr>
            <w:tcW w:w="74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7540" w:type="dxa"/>
            <w:vAlign w:val="bottom"/>
            <w:gridSpan w:val="1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Condensed Financial Statements</w:t>
              </w:r>
            </w:hyperlink>
          </w:p>
        </w:tc>
        <w:tc>
          <w:tcPr>
            <w:tcW w:w="1800" w:type="dxa"/>
            <w:vAlign w:val="bottom"/>
            <w:gridSpan w:val="3"/>
          </w:tcPr>
          <w:p>
            <w:pPr>
              <w:spacing w:after="0"/>
              <w:rPr>
                <w:sz w:val="21"/>
                <w:szCs w:val="21"/>
                <w:color w:val="auto"/>
              </w:rPr>
            </w:pPr>
          </w:p>
        </w:tc>
        <w:tc>
          <w:tcPr>
            <w:tcW w:w="74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15"/>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74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2900" w:type="dxa"/>
            <w:vAlign w:val="bottom"/>
            <w:gridSpan w:val="5"/>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38</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3"/>
          </w:tcPr>
          <w:p>
            <w:pPr>
              <w:spacing w:after="0"/>
              <w:rPr>
                <w:sz w:val="21"/>
                <w:szCs w:val="21"/>
                <w:color w:val="auto"/>
              </w:rPr>
            </w:pPr>
          </w:p>
        </w:tc>
        <w:tc>
          <w:tcPr>
            <w:tcW w:w="4980" w:type="dxa"/>
            <w:vAlign w:val="bottom"/>
            <w:gridSpan w:val="6"/>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r>
      <w:tr>
        <w:trPr>
          <w:trHeight w:val="615"/>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40" w:type="dxa"/>
            <w:vAlign w:val="bottom"/>
            <w:gridSpan w:val="15"/>
          </w:tcPr>
          <w:p>
            <w:pPr>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1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7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Risk Factors</w:t>
              </w:r>
            </w:hyperlink>
          </w:p>
        </w:tc>
        <w:tc>
          <w:tcPr>
            <w:tcW w:w="420" w:type="dxa"/>
            <w:vAlign w:val="bottom"/>
            <w:tcBorders>
              <w:top w:val="single" w:sz="8" w:color="0000FF"/>
            </w:tcBorders>
            <w:gridSpan w:val="2"/>
          </w:tcPr>
          <w:p>
            <w:pPr>
              <w:spacing w:after="0"/>
              <w:rPr>
                <w:sz w:val="21"/>
                <w:szCs w:val="21"/>
                <w:color w:val="auto"/>
              </w:rPr>
            </w:pPr>
          </w:p>
        </w:tc>
        <w:tc>
          <w:tcPr>
            <w:tcW w:w="8000" w:type="dxa"/>
            <w:vAlign w:val="bottom"/>
            <w:gridSpan w:val="10"/>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Unregistered Sales of Equity Securities and Use of Proceeds</w:t>
              </w:r>
            </w:hyperlink>
          </w:p>
        </w:tc>
        <w:tc>
          <w:tcPr>
            <w:tcW w:w="4980" w:type="dxa"/>
            <w:vAlign w:val="bottom"/>
            <w:gridSpan w:val="6"/>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Defaults Upon Senior Securities</w:t>
              </w:r>
            </w:hyperlink>
          </w:p>
        </w:tc>
        <w:tc>
          <w:tcPr>
            <w:tcW w:w="7000" w:type="dxa"/>
            <w:vAlign w:val="bottom"/>
            <w:gridSpan w:val="8"/>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40</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Mine Safety Disclosures</w:t>
              </w:r>
            </w:hyperlink>
          </w:p>
        </w:tc>
        <w:tc>
          <w:tcPr>
            <w:tcW w:w="7560" w:type="dxa"/>
            <w:vAlign w:val="bottom"/>
            <w:gridSpan w:val="9"/>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40</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340" w:type="dxa"/>
            <w:vAlign w:val="bottom"/>
            <w:gridSpan w:val="15"/>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Other Information</w:t>
              </w:r>
            </w:hyperlink>
          </w:p>
        </w:tc>
        <w:tc>
          <w:tcPr>
            <w:tcW w:w="74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Exhibits</w:t>
              </w:r>
            </w:hyperlink>
          </w:p>
        </w:tc>
        <w:tc>
          <w:tcPr>
            <w:tcW w:w="8020" w:type="dxa"/>
            <w:vAlign w:val="bottom"/>
            <w:gridSpan w:val="11"/>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41</w:t>
              </w:r>
            </w:hyperlink>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ectPr>
          <w:pgSz w:w="11900" w:h="16838" w:orient="portrait"/>
          <w:cols w:equalWidth="0" w:num="1">
            <w:col w:w="10960"/>
          </w:cols>
          <w:pgMar w:left="280" w:top="580"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April 30, 2016</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July 31, 2015</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April 30, 2015</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68,565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35,459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125,214</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5,934</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13,012</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13,139</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receivables, net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145,483</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113,990</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105,617</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68,882</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73,485</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62,167</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57,455</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52,197</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64,054</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346,319</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288,143</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370,191</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6)</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1,370,374</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1,386,275</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1,259,093</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6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116,874</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129,825</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137,740</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509,083</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500,433</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470,286</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141,222</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144,149</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141,127</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37,428</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40,796</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41,068</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2,521,300</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2,489,621</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2,419,505</w:t>
            </w:r>
          </w:p>
        </w:tc>
      </w:tr>
      <w:tr>
        <w:trPr>
          <w:trHeight w:val="67"/>
        </w:trPr>
        <w:tc>
          <w:tcPr>
            <w:tcW w:w="63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31"/>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 (Note 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338,089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331,299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293,056</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20,059</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57,194</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36,161</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due within one year (Note 4)</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13,349</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10,154</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256,953</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371,497</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398,647</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586,170</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(Note 4)</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615,829</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806,676</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379,796</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Other long-term liabilities (Note 6)</w:t>
            </w:r>
          </w:p>
        </w:tc>
        <w:tc>
          <w:tcPr>
            <w:tcW w:w="36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249,298</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255,916</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235,932</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305,134</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147,796</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240,133</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1,541,758</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1,609,035</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1,442,031</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9)</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63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Preferred stock, $0.01 par value, 25,000,000 shares authorized, no shares issued</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Pr>
          <w:p>
            <w:pPr>
              <w:ind w:left="380"/>
              <w:spacing w:after="0"/>
              <w:rPr>
                <w:sz w:val="20"/>
                <w:szCs w:val="20"/>
                <w:color w:val="auto"/>
              </w:rPr>
            </w:pPr>
            <w:r>
              <w:rPr>
                <w:rFonts w:ascii="Arial" w:cs="Arial" w:eastAsia="Arial" w:hAnsi="Arial"/>
                <w:sz w:val="18"/>
                <w:szCs w:val="18"/>
                <w:color w:val="auto"/>
                <w:w w:val="95"/>
              </w:rPr>
              <w:t>Common stock, $0.01 par value, 100,000,000 shares authorized, 41,595,420,</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300" w:type="dxa"/>
            <w:vAlign w:val="bottom"/>
          </w:tcPr>
          <w:p>
            <w:pPr>
              <w:ind w:left="380"/>
              <w:spacing w:after="0"/>
              <w:rPr>
                <w:sz w:val="20"/>
                <w:szCs w:val="20"/>
                <w:color w:val="auto"/>
              </w:rPr>
            </w:pPr>
            <w:r>
              <w:rPr>
                <w:rFonts w:ascii="Arial" w:cs="Arial" w:eastAsia="Arial" w:hAnsi="Arial"/>
                <w:sz w:val="18"/>
                <w:szCs w:val="18"/>
                <w:color w:val="auto"/>
              </w:rPr>
              <w:t>41,462,941 and 41,309,969 shares issued, respectively</w:t>
            </w:r>
          </w:p>
        </w:tc>
        <w:tc>
          <w:tcPr>
            <w:tcW w:w="360" w:type="dxa"/>
            <w:vAlign w:val="bottom"/>
          </w:tcPr>
          <w:p>
            <w:pPr>
              <w:spacing w:after="0"/>
              <w:rPr>
                <w:sz w:val="20"/>
                <w:szCs w:val="20"/>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416</w:t>
            </w:r>
          </w:p>
        </w:tc>
        <w:tc>
          <w:tcPr>
            <w:tcW w:w="32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415</w:t>
            </w:r>
          </w:p>
        </w:tc>
        <w:tc>
          <w:tcPr>
            <w:tcW w:w="3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413</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632,148</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623,510</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623,274</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(1,167)</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(4,913)</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581,245</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440,748</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533,618</w:t>
            </w:r>
          </w:p>
        </w:tc>
      </w:tr>
      <w:tr>
        <w:trPr>
          <w:trHeight w:val="229"/>
        </w:trPr>
        <w:tc>
          <w:tcPr>
            <w:tcW w:w="6300" w:type="dxa"/>
            <w:vAlign w:val="bottom"/>
          </w:tcPr>
          <w:p>
            <w:pPr>
              <w:ind w:left="380"/>
              <w:spacing w:after="0"/>
              <w:rPr>
                <w:sz w:val="20"/>
                <w:szCs w:val="20"/>
                <w:color w:val="auto"/>
              </w:rPr>
            </w:pPr>
            <w:r>
              <w:rPr>
                <w:rFonts w:ascii="Arial" w:cs="Arial" w:eastAsia="Arial" w:hAnsi="Arial"/>
                <w:sz w:val="18"/>
                <w:szCs w:val="18"/>
                <w:color w:val="auto"/>
                <w:w w:val="90"/>
              </w:rPr>
              <w:t>Treasury stock, at cost, 5,434,977, 4,949,111, and 4,949,111 shares, respectively</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300" w:type="dxa"/>
            <w:vAlign w:val="bottom"/>
          </w:tcPr>
          <w:p>
            <w:pPr>
              <w:ind w:left="380"/>
              <w:spacing w:after="0"/>
              <w:rPr>
                <w:sz w:val="20"/>
                <w:szCs w:val="20"/>
                <w:color w:val="auto"/>
              </w:rPr>
            </w:pPr>
            <w:r>
              <w:rPr>
                <w:rFonts w:ascii="Arial" w:cs="Arial" w:eastAsia="Arial" w:hAnsi="Arial"/>
                <w:sz w:val="18"/>
                <w:szCs w:val="18"/>
                <w:color w:val="auto"/>
              </w:rPr>
              <w:t>(Note 11)</w:t>
            </w:r>
          </w:p>
        </w:tc>
        <w:tc>
          <w:tcPr>
            <w:tcW w:w="36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(246,979)</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(193,192)</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(193,192)</w:t>
            </w:r>
          </w:p>
        </w:tc>
      </w:tr>
      <w:tr>
        <w:trPr>
          <w:trHeight w:val="27"/>
        </w:trPr>
        <w:tc>
          <w:tcPr>
            <w:tcW w:w="6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Vail Resorts, Inc.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965,663</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866,568</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963,490</w:t>
            </w:r>
          </w:p>
        </w:tc>
      </w:tr>
      <w:tr>
        <w:trPr>
          <w:trHeight w:val="243"/>
        </w:trPr>
        <w:tc>
          <w:tcPr>
            <w:tcW w:w="63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13,879</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14,018</w:t>
            </w:r>
          </w:p>
        </w:tc>
        <w:tc>
          <w:tcPr>
            <w:tcW w:w="3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13,984</w:t>
            </w:r>
          </w:p>
        </w:tc>
      </w:tr>
      <w:tr>
        <w:trPr>
          <w:trHeight w:val="27"/>
        </w:trPr>
        <w:tc>
          <w:tcPr>
            <w:tcW w:w="6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979,542</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880,586</w:t>
            </w: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977,474</w:t>
            </w:r>
          </w:p>
        </w:tc>
      </w:tr>
      <w:tr>
        <w:trPr>
          <w:trHeight w:val="237"/>
        </w:trPr>
        <w:tc>
          <w:tcPr>
            <w:tcW w:w="6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2,521,300</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2,489,621</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2,419,505</w:t>
            </w:r>
          </w:p>
        </w:tc>
      </w:tr>
      <w:tr>
        <w:trPr>
          <w:trHeight w:val="27"/>
        </w:trPr>
        <w:tc>
          <w:tcPr>
            <w:tcW w:w="6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96"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Three Months Ended April 30,</w:t>
            </w:r>
          </w:p>
        </w:tc>
        <w:tc>
          <w:tcPr>
            <w:tcW w:w="420" w:type="dxa"/>
            <w:vAlign w:val="bottom"/>
          </w:tcPr>
          <w:p>
            <w:pPr>
              <w:spacing w:after="0"/>
              <w:rPr>
                <w:sz w:val="16"/>
                <w:szCs w:val="16"/>
                <w:color w:val="auto"/>
              </w:rPr>
            </w:pPr>
          </w:p>
        </w:tc>
        <w:tc>
          <w:tcPr>
            <w:tcW w:w="2800" w:type="dxa"/>
            <w:vAlign w:val="bottom"/>
            <w:gridSpan w:val="3"/>
          </w:tcPr>
          <w:p>
            <w:pPr>
              <w:jc w:val="right"/>
              <w:ind w:right="571"/>
              <w:spacing w:after="0"/>
              <w:rPr>
                <w:sz w:val="20"/>
                <w:szCs w:val="20"/>
                <w:color w:val="auto"/>
              </w:rPr>
            </w:pPr>
            <w:r>
              <w:rPr>
                <w:rFonts w:ascii="Arial" w:cs="Arial" w:eastAsia="Arial" w:hAnsi="Arial"/>
                <w:sz w:val="14"/>
                <w:szCs w:val="14"/>
                <w:b w:val="1"/>
                <w:bCs w:val="1"/>
                <w:color w:val="auto"/>
              </w:rPr>
              <w:t>Nine Months Ended April 30,</w:t>
            </w:r>
          </w:p>
        </w:tc>
      </w:tr>
      <w:tr>
        <w:trPr>
          <w:trHeight w:val="276"/>
        </w:trPr>
        <w:tc>
          <w:tcPr>
            <w:tcW w:w="5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Mountain</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572,805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499,551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1,206,610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1,022,968</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Lodging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72,933</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67,323</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200,026</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185,180</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1,734</w:t>
            </w:r>
          </w:p>
        </w:tc>
        <w:tc>
          <w:tcPr>
            <w:tcW w:w="4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12,469</w:t>
            </w:r>
          </w:p>
        </w:tc>
        <w:tc>
          <w:tcPr>
            <w:tcW w:w="42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14,766</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29,694</w:t>
            </w:r>
          </w:p>
        </w:tc>
      </w:tr>
      <w:tr>
        <w:trPr>
          <w:trHeight w:val="27"/>
        </w:trPr>
        <w:tc>
          <w:tcPr>
            <w:tcW w:w="5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647,472</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579,343</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1,421,402</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1,237,842</w:t>
            </w:r>
          </w:p>
        </w:tc>
      </w:tr>
      <w:tr>
        <w:trPr>
          <w:trHeight w:val="229"/>
        </w:trPr>
        <w:tc>
          <w:tcPr>
            <w:tcW w:w="5220" w:type="dxa"/>
            <w:vAlign w:val="bottom"/>
          </w:tcPr>
          <w:p>
            <w:pPr>
              <w:ind w:left="40"/>
              <w:spacing w:after="0"/>
              <w:rPr>
                <w:sz w:val="20"/>
                <w:szCs w:val="20"/>
                <w:color w:val="auto"/>
              </w:rPr>
            </w:pPr>
            <w:r>
              <w:rPr>
                <w:rFonts w:ascii="Arial" w:cs="Arial" w:eastAsia="Arial" w:hAnsi="Arial"/>
                <w:sz w:val="18"/>
                <w:szCs w:val="18"/>
                <w:color w:val="auto"/>
                <w:w w:val="90"/>
              </w:rPr>
              <w:t>Segment operating expense (exclusive of depreciation and amortization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220" w:type="dxa"/>
            <w:vAlign w:val="bottom"/>
          </w:tcPr>
          <w:p>
            <w:pPr>
              <w:ind w:left="40"/>
              <w:spacing w:after="0"/>
              <w:rPr>
                <w:sz w:val="20"/>
                <w:szCs w:val="20"/>
                <w:color w:val="auto"/>
              </w:rPr>
            </w:pPr>
            <w:r>
              <w:rPr>
                <w:rFonts w:ascii="Arial" w:cs="Arial" w:eastAsia="Arial" w:hAnsi="Arial"/>
                <w:sz w:val="18"/>
                <w:szCs w:val="18"/>
                <w:color w:val="auto"/>
              </w:rPr>
              <w:t>shown separately below):</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281,968</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244,675</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729,382</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645,593</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Lodging</w:t>
            </w: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57,422</w:t>
            </w:r>
          </w:p>
        </w:tc>
        <w:tc>
          <w:tcPr>
            <w:tcW w:w="4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54,726</w:t>
            </w:r>
          </w:p>
        </w:tc>
        <w:tc>
          <w:tcPr>
            <w:tcW w:w="42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176,170</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166,407</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3,085</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14,028</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17,043</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35,513</w:t>
            </w:r>
          </w:p>
        </w:tc>
      </w:tr>
      <w:tr>
        <w:trPr>
          <w:trHeight w:val="237"/>
        </w:trPr>
        <w:tc>
          <w:tcPr>
            <w:tcW w:w="52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segment operating expense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342,475</w:t>
            </w: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313,429</w:t>
            </w:r>
          </w:p>
        </w:tc>
        <w:tc>
          <w:tcPr>
            <w:tcW w:w="4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922,595</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847,513</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(41,472)</w:t>
            </w:r>
          </w:p>
        </w:tc>
        <w:tc>
          <w:tcPr>
            <w:tcW w:w="4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(38,242)</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(120,713)</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(111,587)</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property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1,810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Gain on litigation settlement (Note 5)</w:t>
            </w: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16,400</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 (Note 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4,550</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Loss on disposal of fixed assets and other,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c>
          <w:tcPr>
            <w:tcW w:w="4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(3,149)</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7"/>
        </w:trPr>
        <w:tc>
          <w:tcPr>
            <w:tcW w:w="5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263,380</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227,752</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376,755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298,991</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Mountain equity investment income (loss), net</w:t>
            </w: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396</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income,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509</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(10,400)</w:t>
            </w:r>
          </w:p>
        </w:tc>
        <w:tc>
          <w:tcPr>
            <w:tcW w:w="4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(13,735)</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(31,905)</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(41,110)</w:t>
            </w:r>
          </w:p>
        </w:tc>
      </w:tr>
      <w:tr>
        <w:trPr>
          <w:trHeight w:val="27"/>
        </w:trPr>
        <w:tc>
          <w:tcPr>
            <w:tcW w:w="5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253,341</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214,007</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346,351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258,432</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Provision for income taxes (Note 12)</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(95,804)</w:t>
            </w:r>
          </w:p>
        </w:tc>
        <w:tc>
          <w:tcPr>
            <w:tcW w:w="4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(80,605)</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(131,613)</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(73,654)</w:t>
            </w:r>
          </w:p>
        </w:tc>
      </w:tr>
      <w:tr>
        <w:trPr>
          <w:trHeight w:val="27"/>
        </w:trPr>
        <w:tc>
          <w:tcPr>
            <w:tcW w:w="5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157,537</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133,402</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214,738</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184,778</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5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157,632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133,410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215,027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184,896</w:t>
            </w:r>
          </w:p>
        </w:tc>
      </w:tr>
      <w:tr>
        <w:trPr>
          <w:trHeight w:val="20"/>
        </w:trPr>
        <w:tc>
          <w:tcPr>
            <w:tcW w:w="5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220" w:type="dxa"/>
            <w:vAlign w:val="bottom"/>
          </w:tcPr>
          <w:p>
            <w:pPr>
              <w:ind w:left="40"/>
              <w:spacing w:after="0"/>
              <w:rPr>
                <w:sz w:val="20"/>
                <w:szCs w:val="20"/>
                <w:color w:val="auto"/>
              </w:rPr>
            </w:pPr>
            <w:r>
              <w:rPr>
                <w:rFonts w:ascii="Arial" w:cs="Arial" w:eastAsia="Arial" w:hAnsi="Arial"/>
                <w:sz w:val="18"/>
                <w:szCs w:val="18"/>
                <w:color w:val="auto"/>
              </w:rPr>
              <w:t>Per share amounts (Note 3):</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per share attributable to Vail Resorts, Inc.</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r>
      <w:tr>
        <w:trPr>
          <w:trHeight w:val="20"/>
        </w:trPr>
        <w:tc>
          <w:tcPr>
            <w:tcW w:w="5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220" w:type="dxa"/>
            <w:vAlign w:val="bottom"/>
          </w:tcPr>
          <w:p>
            <w:pPr>
              <w:ind w:left="380"/>
              <w:spacing w:after="0"/>
              <w:rPr>
                <w:sz w:val="20"/>
                <w:szCs w:val="20"/>
                <w:color w:val="auto"/>
              </w:rPr>
            </w:pPr>
            <w:r>
              <w:rPr>
                <w:rFonts w:ascii="Arial" w:cs="Arial" w:eastAsia="Arial" w:hAnsi="Arial"/>
                <w:sz w:val="18"/>
                <w:szCs w:val="18"/>
                <w:color w:val="auto"/>
                <w:w w:val="99"/>
              </w:rPr>
              <w:t>Diluted net income per share attributable to Vail Resorts, Inc.</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4.23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3.56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5.76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4.95</w:t>
            </w:r>
          </w:p>
        </w:tc>
      </w:tr>
      <w:tr>
        <w:trPr>
          <w:trHeight w:val="67"/>
        </w:trPr>
        <w:tc>
          <w:tcPr>
            <w:tcW w:w="5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56"/>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declared per share</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0.8100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0.6225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2.0550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1.4525</w:t>
            </w:r>
          </w:p>
        </w:tc>
      </w:tr>
      <w:tr>
        <w:trPr>
          <w:trHeight w:val="20"/>
        </w:trPr>
        <w:tc>
          <w:tcPr>
            <w:tcW w:w="5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w w:val="98"/>
              </w:rPr>
              <w:t>Three Months Ended April 30,</w:t>
            </w:r>
          </w:p>
        </w:tc>
        <w:tc>
          <w:tcPr>
            <w:tcW w:w="300" w:type="dxa"/>
            <w:vAlign w:val="bottom"/>
          </w:tcPr>
          <w:p>
            <w:pPr>
              <w:spacing w:after="0"/>
              <w:rPr>
                <w:sz w:val="16"/>
                <w:szCs w:val="16"/>
                <w:color w:val="auto"/>
              </w:rPr>
            </w:pPr>
          </w:p>
        </w:tc>
        <w:tc>
          <w:tcPr>
            <w:tcW w:w="218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w w:val="99"/>
              </w:rPr>
              <w:t>Nine Months Ended April 30,</w:t>
            </w:r>
          </w:p>
        </w:tc>
      </w:tr>
      <w:tr>
        <w:trPr>
          <w:trHeight w:val="276"/>
        </w:trPr>
        <w:tc>
          <w:tcPr>
            <w:tcW w:w="5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157,537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133,402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214,738</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184,778</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 net of tax</w:t>
            </w:r>
          </w:p>
        </w:tc>
        <w:tc>
          <w:tcPr>
            <w:tcW w:w="1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6,540</w:t>
            </w: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3,746</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5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164,077</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133,425</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218,484</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184,354</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Comprehensive loss attributable to noncontrolling interests</w:t>
            </w:r>
          </w:p>
        </w:tc>
        <w:tc>
          <w:tcPr>
            <w:tcW w:w="1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118</w:t>
            </w:r>
          </w:p>
        </w:tc>
      </w:tr>
      <w:tr>
        <w:trPr>
          <w:trHeight w:val="27"/>
        </w:trPr>
        <w:tc>
          <w:tcPr>
            <w:tcW w:w="5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Vail Resorts, Inc.</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164,172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133,433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218,773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184,472</w:t>
            </w: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796"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11"/>
              <w:spacing w:after="0"/>
              <w:rPr>
                <w:sz w:val="20"/>
                <w:szCs w:val="20"/>
                <w:color w:val="auto"/>
              </w:rPr>
            </w:pPr>
            <w:r>
              <w:rPr>
                <w:rFonts w:ascii="Arial" w:cs="Arial" w:eastAsia="Arial" w:hAnsi="Arial"/>
                <w:sz w:val="13"/>
                <w:szCs w:val="13"/>
                <w:b w:val="1"/>
                <w:bCs w:val="1"/>
                <w:color w:val="auto"/>
                <w:w w:val="89"/>
              </w:rPr>
              <w:t>Total Vail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4"/>
              </w:rPr>
              <w:t>Resorts, Inc.</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w w:val="91"/>
              </w:rPr>
              <w:t>Additional Paid in</w:t>
            </w:r>
          </w:p>
        </w:tc>
        <w:tc>
          <w:tcPr>
            <w:tcW w:w="140" w:type="dxa"/>
            <w:vAlign w:val="bottom"/>
          </w:tcPr>
          <w:p>
            <w:pPr>
              <w:spacing w:after="0"/>
              <w:rPr>
                <w:sz w:val="11"/>
                <w:szCs w:val="11"/>
                <w:color w:val="auto"/>
              </w:rPr>
            </w:pPr>
          </w:p>
        </w:tc>
        <w:tc>
          <w:tcPr>
            <w:tcW w:w="66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90"/>
              </w:rPr>
              <w:t>Retained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jc w:val="right"/>
              <w:ind w:right="8"/>
              <w:spacing w:after="0" w:line="135" w:lineRule="exact"/>
              <w:rPr>
                <w:sz w:val="20"/>
                <w:szCs w:val="20"/>
                <w:color w:val="auto"/>
              </w:rPr>
            </w:pPr>
            <w:r>
              <w:rPr>
                <w:rFonts w:ascii="Arial" w:cs="Arial" w:eastAsia="Arial" w:hAnsi="Arial"/>
                <w:sz w:val="13"/>
                <w:szCs w:val="13"/>
                <w:b w:val="1"/>
                <w:bCs w:val="1"/>
                <w:color w:val="auto"/>
                <w:w w:val="95"/>
              </w:rPr>
              <w:t>Accumulated Other</w:t>
            </w:r>
          </w:p>
        </w:tc>
        <w:tc>
          <w:tcPr>
            <w:tcW w:w="120" w:type="dxa"/>
            <w:vAlign w:val="bottom"/>
          </w:tcPr>
          <w:p>
            <w:pPr>
              <w:spacing w:after="0"/>
              <w:rPr>
                <w:sz w:val="11"/>
                <w:szCs w:val="11"/>
                <w:color w:val="auto"/>
              </w:rPr>
            </w:pPr>
          </w:p>
        </w:tc>
        <w:tc>
          <w:tcPr>
            <w:tcW w:w="8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40" w:type="dxa"/>
            <w:vAlign w:val="bottom"/>
          </w:tcPr>
          <w:p>
            <w:pPr>
              <w:spacing w:after="0"/>
              <w:rPr>
                <w:sz w:val="11"/>
                <w:szCs w:val="11"/>
                <w:color w:val="auto"/>
              </w:rPr>
            </w:pPr>
          </w:p>
        </w:tc>
        <w:tc>
          <w:tcPr>
            <w:tcW w:w="9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1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7"/>
              </w:rPr>
              <w:t>Total Stockholders’</w:t>
            </w:r>
          </w:p>
        </w:tc>
      </w:tr>
      <w:tr>
        <w:trPr>
          <w:trHeight w:val="174"/>
        </w:trPr>
        <w:tc>
          <w:tcPr>
            <w:tcW w:w="2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89"/>
              </w:rPr>
              <w:t>Earnings</w:t>
            </w: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9"/>
              </w:rPr>
              <w:t>Treasury Stock</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Comprehensive Loss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5"/>
              </w:rPr>
              <w:t>Equity</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Interests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Equity</w:t>
            </w:r>
          </w:p>
        </w:tc>
      </w:tr>
      <w:tr>
        <w:trPr>
          <w:trHeight w:val="264"/>
        </w:trPr>
        <w:tc>
          <w:tcPr>
            <w:tcW w:w="2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Amount</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16"/>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July 31, 2014</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41,152,800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612,322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401,500</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(193,192)</w:t>
            </w:r>
          </w:p>
        </w:tc>
        <w:tc>
          <w:tcPr>
            <w:tcW w:w="480" w:type="dxa"/>
            <w:vAlign w:val="bottom"/>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820,843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13,957</w:t>
            </w: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834,800</w:t>
            </w:r>
          </w:p>
        </w:tc>
      </w:tr>
      <w:tr>
        <w:trPr>
          <w:trHeight w:val="264"/>
        </w:trPr>
        <w:tc>
          <w:tcPr>
            <w:tcW w:w="244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2"/>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184,896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184,896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184,778</w:t>
            </w:r>
          </w:p>
        </w:tc>
      </w:tr>
      <w:tr>
        <w:trPr>
          <w:trHeight w:val="157"/>
        </w:trPr>
        <w:tc>
          <w:tcPr>
            <w:tcW w:w="2440" w:type="dxa"/>
            <w:vAlign w:val="bottom"/>
          </w:tcPr>
          <w:p>
            <w:pPr>
              <w:ind w:left="40"/>
              <w:spacing w:after="0" w:line="157" w:lineRule="exact"/>
              <w:rPr>
                <w:sz w:val="20"/>
                <w:szCs w:val="20"/>
                <w:color w:val="auto"/>
              </w:rPr>
            </w:pPr>
            <w:r>
              <w:rPr>
                <w:rFonts w:ascii="Arial" w:cs="Arial" w:eastAsia="Arial" w:hAnsi="Arial"/>
                <w:sz w:val="14"/>
                <w:szCs w:val="14"/>
                <w:color w:val="auto"/>
              </w:rPr>
              <w:t>Foreign currency translation</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adjustments, net of tax</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(424)</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r>
      <w:tr>
        <w:trPr>
          <w:trHeight w:val="250"/>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income (loss)</w:t>
            </w: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184,472</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184,354</w:t>
            </w:r>
          </w:p>
        </w:tc>
      </w:tr>
      <w:tr>
        <w:trPr>
          <w:trHeight w:val="210"/>
        </w:trPr>
        <w:tc>
          <w:tcPr>
            <w:tcW w:w="244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11,718</w:t>
            </w:r>
          </w:p>
        </w:tc>
        <w:tc>
          <w:tcPr>
            <w:tcW w:w="1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11,718</w:t>
            </w: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11,718</w:t>
            </w:r>
          </w:p>
        </w:tc>
      </w:tr>
      <w:tr>
        <w:trPr>
          <w:trHeight w:val="163"/>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Issuance of shares under share award</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4"/>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plans, net of shares withheld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157,169</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(4,630)</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(4,629)</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(4,629)</w:t>
            </w:r>
          </w:p>
        </w:tc>
      </w:tr>
      <w:tr>
        <w:trPr>
          <w:trHeight w:val="210"/>
        </w:trPr>
        <w:tc>
          <w:tcPr>
            <w:tcW w:w="2440" w:type="dxa"/>
            <w:vAlign w:val="bottom"/>
          </w:tcPr>
          <w:p>
            <w:pPr>
              <w:ind w:left="40"/>
              <w:spacing w:after="0"/>
              <w:rPr>
                <w:sz w:val="20"/>
                <w:szCs w:val="20"/>
                <w:color w:val="auto"/>
              </w:rPr>
            </w:pPr>
            <w:r>
              <w:rPr>
                <w:rFonts w:ascii="Arial" w:cs="Arial" w:eastAsia="Arial" w:hAnsi="Arial"/>
                <w:sz w:val="14"/>
                <w:szCs w:val="14"/>
                <w:color w:val="auto"/>
              </w:rPr>
              <w:t>Tax benefit from share award plans</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3,864</w:t>
            </w:r>
          </w:p>
        </w:tc>
        <w:tc>
          <w:tcPr>
            <w:tcW w:w="1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3,864</w:t>
            </w: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3,864</w:t>
            </w:r>
          </w:p>
        </w:tc>
      </w:tr>
      <w:tr>
        <w:trPr>
          <w:trHeight w:val="222"/>
        </w:trPr>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(52,778)</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(52,778)</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(52,778)</w:t>
            </w:r>
          </w:p>
        </w:tc>
      </w:tr>
      <w:tr>
        <w:trPr>
          <w:trHeight w:val="157"/>
        </w:trPr>
        <w:tc>
          <w:tcPr>
            <w:tcW w:w="2440" w:type="dxa"/>
            <w:vAlign w:val="bottom"/>
          </w:tcPr>
          <w:p>
            <w:pPr>
              <w:ind w:left="40"/>
              <w:spacing w:after="0" w:line="157" w:lineRule="exact"/>
              <w:rPr>
                <w:sz w:val="20"/>
                <w:szCs w:val="20"/>
                <w:color w:val="auto"/>
              </w:rPr>
            </w:pPr>
            <w:r>
              <w:rPr>
                <w:rFonts w:ascii="Arial" w:cs="Arial" w:eastAsia="Arial" w:hAnsi="Arial"/>
                <w:sz w:val="14"/>
                <w:szCs w:val="14"/>
                <w:color w:val="auto"/>
              </w:rPr>
              <w:t>Contributions from noncontrolling</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interests, net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145</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145</w:t>
            </w:r>
          </w:p>
        </w:tc>
      </w:tr>
      <w:tr>
        <w:trPr>
          <w:trHeight w:val="210"/>
        </w:trPr>
        <w:tc>
          <w:tcPr>
            <w:tcW w:w="2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April 30, 2015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41,309,969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623,274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533,618</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(193,192)</w:t>
            </w:r>
          </w:p>
        </w:tc>
        <w:tc>
          <w:tcPr>
            <w:tcW w:w="4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963,490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13,984</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977,474</w:t>
            </w: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July 31,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41,462,941</w:t>
            </w:r>
          </w:p>
        </w:tc>
        <w:tc>
          <w:tcPr>
            <w:tcW w:w="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3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623,510</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440,748</w:t>
            </w:r>
          </w:p>
        </w:tc>
        <w:tc>
          <w:tcPr>
            <w:tcW w:w="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(193,192)</w:t>
            </w:r>
          </w:p>
        </w:tc>
        <w:tc>
          <w:tcPr>
            <w:tcW w:w="46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866,568</w:t>
            </w:r>
          </w:p>
        </w:tc>
        <w:tc>
          <w:tcPr>
            <w:tcW w:w="38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14,018</w:t>
            </w:r>
          </w:p>
        </w:tc>
        <w:tc>
          <w:tcPr>
            <w:tcW w:w="3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880,586</w:t>
            </w: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2"/>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215,027</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215,027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214,738</w:t>
            </w:r>
          </w:p>
        </w:tc>
      </w:tr>
      <w:tr>
        <w:trPr>
          <w:trHeight w:val="157"/>
        </w:trPr>
        <w:tc>
          <w:tcPr>
            <w:tcW w:w="2540" w:type="dxa"/>
            <w:vAlign w:val="bottom"/>
          </w:tcPr>
          <w:p>
            <w:pPr>
              <w:ind w:left="40"/>
              <w:spacing w:after="0" w:line="157" w:lineRule="exact"/>
              <w:rPr>
                <w:sz w:val="20"/>
                <w:szCs w:val="20"/>
                <w:color w:val="auto"/>
              </w:rPr>
            </w:pPr>
            <w:r>
              <w:rPr>
                <w:rFonts w:ascii="Arial" w:cs="Arial" w:eastAsia="Arial" w:hAnsi="Arial"/>
                <w:sz w:val="14"/>
                <w:szCs w:val="14"/>
                <w:color w:val="auto"/>
              </w:rPr>
              <w:t>Foreign currency translation</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8"/>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adjustments, net of tax</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3,746</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3,746</w:t>
            </w: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3,746</w:t>
            </w:r>
          </w:p>
        </w:tc>
      </w:tr>
      <w:tr>
        <w:trPr>
          <w:trHeight w:val="250"/>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income (loss)</w:t>
            </w: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218,773</w:t>
            </w: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218,484</w:t>
            </w: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12,665</w:t>
            </w:r>
          </w:p>
        </w:tc>
        <w:tc>
          <w:tcPr>
            <w:tcW w:w="20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12,665</w:t>
            </w:r>
          </w:p>
        </w:tc>
        <w:tc>
          <w:tcPr>
            <w:tcW w:w="3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12,665</w:t>
            </w:r>
          </w:p>
        </w:tc>
      </w:tr>
      <w:tr>
        <w:trPr>
          <w:trHeight w:val="163"/>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shares under share award</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plans, net of shares withheld for taxes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132,479</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(8,521)</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(8,520)</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(8,520)</w:t>
            </w: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Tax benefit from share award plans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4,494</w:t>
            </w:r>
          </w:p>
        </w:tc>
        <w:tc>
          <w:tcPr>
            <w:tcW w:w="20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4,494</w:t>
            </w:r>
          </w:p>
        </w:tc>
        <w:tc>
          <w:tcPr>
            <w:tcW w:w="3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4,494</w:t>
            </w:r>
          </w:p>
        </w:tc>
      </w:tr>
      <w:tr>
        <w:trPr>
          <w:trHeight w:val="222"/>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Repurchases of common stock (Note 11)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(53,787)</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(53,787)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(53,787)</w:t>
            </w: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Dividends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(74,530)</w:t>
            </w:r>
          </w:p>
        </w:tc>
        <w:tc>
          <w:tcPr>
            <w:tcW w:w="2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(74,530)</w:t>
            </w:r>
          </w:p>
        </w:tc>
        <w:tc>
          <w:tcPr>
            <w:tcW w:w="3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(74,530)</w:t>
            </w:r>
          </w:p>
        </w:tc>
      </w:tr>
      <w:tr>
        <w:trPr>
          <w:trHeight w:val="163"/>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8"/>
        </w:trPr>
        <w:tc>
          <w:tcPr>
            <w:tcW w:w="2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interests, net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r>
      <w:tr>
        <w:trPr>
          <w:trHeight w:val="210"/>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April 30, 2016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41,595,420</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632,148</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581,245</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(246,979)</w:t>
            </w: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(1,167)</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965,663</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13,879</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979,542</w:t>
            </w: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20" w:type="dxa"/>
            <w:vAlign w:val="bottom"/>
            <w:gridSpan w:val="3"/>
          </w:tcPr>
          <w:p>
            <w:pPr>
              <w:jc w:val="right"/>
              <w:ind w:right="811"/>
              <w:spacing w:after="0"/>
              <w:rPr>
                <w:sz w:val="20"/>
                <w:szCs w:val="20"/>
                <w:color w:val="auto"/>
              </w:rPr>
            </w:pPr>
            <w:r>
              <w:rPr>
                <w:rFonts w:ascii="Arial" w:cs="Arial" w:eastAsia="Arial" w:hAnsi="Arial"/>
                <w:sz w:val="14"/>
                <w:szCs w:val="14"/>
                <w:b w:val="1"/>
                <w:bCs w:val="1"/>
                <w:color w:val="auto"/>
              </w:rPr>
              <w:t>Nine Months Ended April 30,</w:t>
            </w:r>
          </w:p>
        </w:tc>
      </w:tr>
      <w:tr>
        <w:trPr>
          <w:trHeight w:val="276"/>
        </w:trPr>
        <w:tc>
          <w:tcPr>
            <w:tcW w:w="6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214,738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184,778</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120,713</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111,587</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real estate sales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10,508</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23,058</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12,665</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11,718</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131,741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114,795</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(4,550)</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litigation settlement</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(16,400)</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Park City litigation settlement payment</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income, net</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7,078</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Trade receivables, net</w:t>
            </w:r>
          </w:p>
        </w:tc>
        <w:tc>
          <w:tcPr>
            <w:tcW w:w="13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(27,973)</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(7,761)</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4,857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5,380</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13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(4,641)</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 net</w:t>
            </w:r>
          </w:p>
        </w:tc>
        <w:tc>
          <w:tcPr>
            <w:tcW w:w="1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(11,412)</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(14,953)</w:t>
            </w:r>
          </w:p>
        </w:tc>
      </w:tr>
      <w:tr>
        <w:trPr>
          <w:trHeight w:val="237"/>
        </w:trPr>
        <w:tc>
          <w:tcPr>
            <w:tcW w:w="684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455,427</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394,476</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3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(88,307)</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(85,583)</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(20,245)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(182,500)</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Other investing activities, net</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880</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3,274</w:t>
            </w:r>
          </w:p>
        </w:tc>
      </w:tr>
      <w:tr>
        <w:trPr>
          <w:trHeight w:val="27"/>
        </w:trPr>
        <w:tc>
          <w:tcPr>
            <w:tcW w:w="6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(107,672)</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(264,809)</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 under Credit Facility Revolver</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135,000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253,000</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Payments on Credit Facility Revolver</w:t>
            </w:r>
          </w:p>
        </w:tc>
        <w:tc>
          <w:tcPr>
            <w:tcW w:w="13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(320,000)</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(253,000)</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Credit Facility Term Loan</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Payments of other long-term debt</w:t>
            </w:r>
          </w:p>
        </w:tc>
        <w:tc>
          <w:tcPr>
            <w:tcW w:w="13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(74,530)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(52,778)</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Repurchases of common stock</w:t>
            </w:r>
          </w:p>
        </w:tc>
        <w:tc>
          <w:tcPr>
            <w:tcW w:w="13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(53,787)</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 activities, net</w:t>
            </w:r>
          </w:p>
        </w:tc>
        <w:tc>
          <w:tcPr>
            <w:tcW w:w="1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4,760</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5,041</w:t>
            </w:r>
          </w:p>
        </w:tc>
      </w:tr>
      <w:tr>
        <w:trPr>
          <w:trHeight w:val="237"/>
        </w:trPr>
        <w:tc>
          <w:tcPr>
            <w:tcW w:w="684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(315,068)</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(48,750)</w:t>
            </w:r>
          </w:p>
        </w:tc>
      </w:tr>
      <w:tr>
        <w:trPr>
          <w:trHeight w:val="27"/>
        </w:trPr>
        <w:tc>
          <w:tcPr>
            <w:tcW w:w="6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419</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6840" w:type="dxa"/>
            <w:vAlign w:val="bottom"/>
          </w:tcPr>
          <w:p>
            <w:pPr>
              <w:ind w:left="920"/>
              <w:spacing w:after="0"/>
              <w:rPr>
                <w:sz w:val="20"/>
                <w:szCs w:val="20"/>
                <w:color w:val="auto"/>
              </w:rPr>
            </w:pPr>
            <w:r>
              <w:rPr>
                <w:rFonts w:ascii="Arial" w:cs="Arial" w:eastAsia="Arial" w:hAnsi="Arial"/>
                <w:sz w:val="18"/>
                <w:szCs w:val="18"/>
                <w:color w:val="auto"/>
              </w:rPr>
              <w:t>Net increase in cash and cash equivalents</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33,106</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80,808</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3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35,459</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44,406</w:t>
            </w:r>
          </w:p>
        </w:tc>
      </w:tr>
      <w:tr>
        <w:trPr>
          <w:trHeight w:val="27"/>
        </w:trPr>
        <w:tc>
          <w:tcPr>
            <w:tcW w:w="6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 of period</w:t>
            </w:r>
          </w:p>
        </w:tc>
        <w:tc>
          <w:tcPr>
            <w:tcW w:w="1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68,565</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125,214</w:t>
            </w:r>
          </w:p>
        </w:tc>
      </w:tr>
      <w:tr>
        <w:trPr>
          <w:trHeight w:val="20"/>
        </w:trPr>
        <w:tc>
          <w:tcPr>
            <w:tcW w:w="68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Accrued capital expenditures</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5,801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4,257</w:t>
            </w:r>
          </w:p>
        </w:tc>
      </w:tr>
      <w:tr>
        <w:trPr>
          <w:trHeight w:val="27"/>
        </w:trPr>
        <w:tc>
          <w:tcPr>
            <w:tcW w:w="6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under long-term financing</w:t>
            </w:r>
          </w:p>
        </w:tc>
        <w:tc>
          <w:tcPr>
            <w:tcW w:w="1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7,037</w:t>
            </w:r>
          </w:p>
        </w:tc>
      </w:tr>
      <w:tr>
        <w:trPr>
          <w:trHeight w:val="20"/>
        </w:trPr>
        <w:tc>
          <w:tcPr>
            <w:tcW w:w="68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(“Vail Resorts” or the “Parent Company”) is organized as a holding company and operates through various subsidiaries. Vail Resorts and its subsidiaries (collectively, the “Company”) operate in three business segments: Mountain, Lodging and Real Estate.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Mountain segment, the Company operates nine world-class mountain resort properties at Vail, Breckenridge, Keystone and Beaver Creek mountain resorts in Colorado; Park City mountain resort in Utah (“Park City” comprised of the former standalone Park City Mountain Resort acquired in September 2014 and the former Canyons Resort (“Canyons”) in Park City, Utah); Heavenly, Northstar, and Kirkwood mountain resorts in the Lake Tahoe area of California and Nevada; Perisher Ski Resort (“Perisher,” acquired in June 2015) in New South Wales, Australia; and, the ski areas of Wilmot Mountain in Wisconsin (“Wilmot,” acquired in January 2016), Afton Alps in Minnesota and Mount Brighton in Michigan (“Urban” ski areas); as well as ancillary services, primarily including ski school, dining and retail/rental operations, and for Perisher including lodging and transportation operations. The resorts located in the United States (“U.S.”), except for Northstar, Park City and the Urban ski areas, operate primarily on federal land under the terms of Special Use Permits granted by the United States Department of Agriculture Forest Service (the “Forest Service”). The operations of Perisher are conducted pursuant to a long-term lease and license on land owned by the government of New South Wales, Australia.</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Lodging segment, the Company owns and/or manages a collection of luxury hotels and condominiums under its RockResorts brand, as well as other strategic lodging properties and a large number of condominiums located in proximity to the Company’s U.S. mountain resorts, National Park Service (“NPS”) concessionaire properties including the Grand Teton Lodge Company (“GTLC”), which operates destination resorts in the Grand Teton National Park, Colorado Mountain Express (“CME”), a Colorado resort ground transportation company, and mountain resort golf courses.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and develops real estate in and around the Company’s resort communities.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the U.S. The Company’s operating season at Perisher, its NPS concessionaire properties and its golf courses generally occur from June to early October. The Company also has non-majority owned investments in various other entities, some of which are consolidated (see Note 7, Variable Interest Entities).</w:t>
      </w:r>
    </w:p>
    <w:p>
      <w:pPr>
        <w:spacing w:after="0" w:line="18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Consolidated Condensed Financial Statements— </w:t>
      </w:r>
      <w:r>
        <w:rPr>
          <w:rFonts w:ascii="Arial" w:cs="Arial" w:eastAsia="Arial" w:hAnsi="Arial"/>
          <w:sz w:val="16"/>
          <w:szCs w:val="16"/>
          <w:color w:val="auto"/>
        </w:rPr>
        <w:t>In the opinion of the Company, the accompanying Consolidated Condensed Financial Statements reflect all</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Consolidated Condensed Financial Statements should be read in conjunction with the audited Consolidated Financial Statements included in the Company’s Annual Report on Form 10-K for the fiscal year ended July 31, 2015.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2015 was derived from audited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New Accounting Standards— </w:t>
      </w:r>
      <w:r>
        <w:rPr>
          <w:rFonts w:ascii="Arial" w:cs="Arial" w:eastAsia="Arial" w:hAnsi="Arial"/>
          <w:sz w:val="18"/>
          <w:szCs w:val="18"/>
          <w:color w:val="auto"/>
        </w:rPr>
        <w:t>In May 2014, the Financial Accounting Standards Board (“FASB”) issued Accounting Standards Update (“ASU”) No. 2014-09,</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Contracts with Customers (Topic 606),” which supersedes the revenue recognition requirements in Accounting Standards Codification (“ASC”) 605, “Revenue Recognition.” This ASU is based on the principle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both"/>
        <w:spacing w:after="0" w:line="290" w:lineRule="auto"/>
        <w:rPr>
          <w:sz w:val="20"/>
          <w:szCs w:val="20"/>
          <w:color w:val="auto"/>
        </w:rPr>
      </w:pPr>
      <w:r>
        <w:rPr>
          <w:rFonts w:ascii="Arial" w:cs="Arial" w:eastAsia="Arial" w:hAnsi="Arial"/>
          <w:sz w:val="16"/>
          <w:szCs w:val="16"/>
          <w:color w:val="auto"/>
        </w:rPr>
        <w:t>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the FASB issued ASU No. 2015-14, which defers the effective date of the new revenue standard by one year, and would allow entities the option to early adopt the new revenue standard as of the original effective date. This standard will be effective for the first interim period within fiscal years beginning after December 15, 2017 (the Company’s first quarter of fiscal 2019 if it does not early adopt), using one of two retrospective application methods. The Company is evaluating the impacts, if any, the adoption of this accounting standard will have on the Company’s financial position or results of operations and cash flows and related disclosures and is determining the appropriate transition method.</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2015, the FASB issued ASU No. 2015-02, “Consolidation (Topic 810): Amendments to the Consolidation Analysis,” which amends the consolidation requirements in ASC 810, “Consolidation.” This ASU affects reporting entities that are required to evaluate whether they should consolidate certain legal entities. All legal entities are subject to reevaluation under the revised consolidation model. Specifically, the amendments: (i) modify the evaluation of whether limited partnerships and similar legal entities are variable interest entities (“VIEs”) or voting interest entities, (ii) eliminate the presumption that a general partner should consolidate a limited partnership, (iii) affect the consolidated analysis of reporting entities that are involved with VIEs, particularly those that have fee arrangements and related party relationships and (iv) provide a scope exception for certain entities. The standard will be effective for the first interim period within fiscal years beginning after December 15, 2015 (the Company’s first quarter of fiscal 2017). The standard may be applied retrospectively or through a cumulative effect adjustment to retained earnings as of the beginning of the fiscal year of adoption. The Company is evaluating the impacts, if any, the adoption of this accounting standard will have on the Company’s financial position or results of operations and cash flows.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2015, the FASB issued ASU No. 2015-03, “Interest - Imputation of Interest (Subtopic 835-30): Simplifying the Presentation of Debt Issuance Costs.” The new standard requires that debt issuance costs related to a recognized debt liability be presented in the balance sheet as a direct deduction from the carrying amount of that debt liability, consistent with debt discounts. The guidance in the new standard is limited to the presentation of debt issuance costs and does not affect the recognition and measurement of debt issuance costs. In June 2015, the FASB issued ASU No. 2015-15, “Interest - Imputation of Interest (Subtopic 835-30): Presentation and Subsequent Measurement of Debt Issuance Costs Associated with Line-of-Credit Arrangements.” The guidance in ASU No. 2015-03 does not address presentation or subsequent measurement of debt issuance costs related to line-of-credit arrangements. Given the absence of authoritative guidance within ASU No. 2015-03 for debt issuance costs related to line-of-credit arrangements, the SEC staff stated that they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standard will be effective for the first interim period within fiscal years beginning after December 15, 2015 (the Company’s first quarter of fiscal 2017) and early adoption is permitted for financial statements that have not been previously issued. The standard should be applied on a retrospective basis. The adoption of this new accounting standard will amend presentation and disclosure requirements concerning debt issuance costs; but will not affect the Company’s overall financial position or results of operations and cash flows.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2015, the FASB issued ASU No. 2015-05, “Intangibles - Goodwill and Other - Internal-Use Software (Subtopic 350-40): Customer’s Accounting for Fees Paid in a Cloud Computing Arrangement.” The standard provides guidance about whether a cloud computing arrangement includes a software license. If a cloud computing arrangement includes a software license, then the software license element of the arrangement should be accounted for as an acquisition of a software license. If a cloud computing arrangement does not include a software license, it should be accounted for as a service contract. The standard will be effective for the first interim period within fiscal years beginning after December 15, 2015 (the Company’s first quarter of fiscal 2017) and may be adopted either retrospectively or prospectively. The adoption of this accounting standard is not expected to have a material impact on the Company’s financial position or results of operations and cash flows.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July 2015, the FASB issued ASU No. 2015-11, “Inventory (Topic 330): Simplifying the Measurement of Inventory.” This standard provides guidance on the measurement of inventory that is measured using first-in, first-out or average cost. An entity should measure in scope inventory at the lower of cost and net realizable value. Net realizable value is the estimated selling prices in the ordinary course of business, less reasonably predictable costs of completion, disposal and transportation. The standard will be effective for the first interim period within fiscal years beginning after December 15, 2016 (the Company’s first quarter of fiscal 2018) and is required to be adopted prospectively and early adoption is permitted. The adoption of this accounting standard is not expected to have a material impact on the Company’s financial position or results of operations and cash flows.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2015, the FASB issued ASU No. 2015-16, “Simplifying the Accounting for Measurement-Period Adjustments.” The standard requires that adjustments to provisional amounts identified during the measurement period of a business combination be recognized in the reporting period in which those adjustments are determined, including the effect on earnings, if any, calculated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76" w:lineRule="auto"/>
        <w:rPr>
          <w:sz w:val="20"/>
          <w:szCs w:val="20"/>
          <w:color w:val="auto"/>
        </w:rPr>
      </w:pPr>
      <w:r>
        <w:rPr>
          <w:rFonts w:ascii="Arial" w:cs="Arial" w:eastAsia="Arial" w:hAnsi="Arial"/>
          <w:sz w:val="17"/>
          <w:szCs w:val="17"/>
          <w:color w:val="auto"/>
        </w:rPr>
        <w:t>as if the accounting had been completed at the acquisition date. The standard eliminates the previous requirement to retrospectively account for such adjustments but requires additional disclosures related to the income statement effects of adjustments to provisional amounts identified during the measurement period. The standard is effective for the annual period beginning after December 15, 2015 and interim periods within those annual periods (the Company’s first quarter of fiscal 2017), with early adoption permitted, and is to be applied prospectively. The Company has adopted this standard and will apply this standard, as applicable, on any future measurement period adjustments.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2015, the FASB issued ASU No. 2015-17, “Income Taxes (Topic 740): Balance Sheet Classification of Deferred Taxes.” The standard changes how deferred taxes are classified on an entity’s balance sheets. The standard eliminates the current requirement for entities to present deferred tax liabilities and assets as current and noncurrent in a classified balance sheet. Instead, entities will be required to classify all deferred tax assets and liabilities as noncurrent. The standard is effective for financial statements issued for annual periods beginning after December 15, 2016 (the Company’s first quarter of fiscal 2018), with early adoption permitted, and may be applied prospectively or retrospectively. The adoption of this new accounting standard will amend presentation requirements, but will not affect the Company’s overall financial position or results of operations and cash flows.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must be applied using a modified retrospective transition approach to leases existing at, or entered into after, the beginning of the earliest comparative period presented in the financial statements, with early adoption permitted. The Company is currently evaluating the impacts the adoption of this accounting standard will have on the Company’s financial position or results of operations and cash flows and related disclosures.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2016, the FASB issued ASU No. 2016-09, “Compensation - Stock Compensation (Topic 718): Improvements to Employee Share-Based Payment Accounting.” The new guidance requires entities to record all excess tax benefits and tax deficiencies as income tax expense or benefit in the income statement when the awards vest or are settled. The guidance also requires entities to present excess tax benefits as an operating activity and cash paid to a taxing authority to satisfy statutory withholding as a financing activity on the statement of cash flows. Additionally, the guidance allows entities to make a policy election to account for forfeitures either upon occurrence or by estimating forfeitures. The standard is effective for financial statements issued for fiscal years beginning after December 15, 2016 (the Company’s first quarter of fiscal 2018), with early adoption permitted. The Company is currently evaluating the impacts the adoption of this accounting standard will have on the Company’s financial position or results of operations and cash flows.</w:t>
      </w:r>
    </w:p>
    <w:p>
      <w:pPr>
        <w:spacing w:after="0" w:line="16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participate in the earnings of Vail Resorts. Presented below is basic and diluted EPS for the three months ended April 30, 2016 and 2015 (in thousands, except per share amounts):</w:t>
      </w:r>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0" w:type="dxa"/>
            <w:vAlign w:val="bottom"/>
            <w:gridSpan w:val="3"/>
          </w:tcPr>
          <w:p>
            <w:pPr>
              <w:jc w:val="right"/>
              <w:ind w:right="253"/>
              <w:spacing w:after="0"/>
              <w:rPr>
                <w:sz w:val="20"/>
                <w:szCs w:val="20"/>
                <w:color w:val="auto"/>
              </w:rPr>
            </w:pPr>
            <w:r>
              <w:rPr>
                <w:rFonts w:ascii="Arial" w:cs="Arial" w:eastAsia="Arial" w:hAnsi="Arial"/>
                <w:sz w:val="14"/>
                <w:szCs w:val="14"/>
                <w:b w:val="1"/>
                <w:bCs w:val="1"/>
                <w:color w:val="auto"/>
              </w:rPr>
              <w:t>Three Months Ended April 30,</w:t>
            </w: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76"/>
        </w:trPr>
        <w:tc>
          <w:tcPr>
            <w:tcW w:w="4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2016</w:t>
            </w: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2015</w:t>
            </w:r>
          </w:p>
        </w:tc>
        <w:tc>
          <w:tcPr>
            <w:tcW w:w="1060" w:type="dxa"/>
            <w:vAlign w:val="bottom"/>
            <w:tcBorders>
              <w:bottom w:val="single" w:sz="8" w:color="auto"/>
            </w:tcBorders>
          </w:tcPr>
          <w:p>
            <w:pPr>
              <w:spacing w:after="0"/>
              <w:rPr>
                <w:sz w:val="24"/>
                <w:szCs w:val="24"/>
                <w:color w:val="auto"/>
              </w:rPr>
            </w:pPr>
          </w:p>
        </w:tc>
      </w:tr>
      <w:tr>
        <w:trPr>
          <w:trHeight w:val="264"/>
        </w:trPr>
        <w:tc>
          <w:tcPr>
            <w:tcW w:w="4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Basic</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Basic</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Diluted</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157,632</w:t>
            </w:r>
          </w:p>
        </w:tc>
        <w:tc>
          <w:tcPr>
            <w:tcW w:w="4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157,632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133,410</w:t>
            </w:r>
          </w:p>
        </w:tc>
        <w:tc>
          <w:tcPr>
            <w:tcW w:w="4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133,410</w:t>
            </w:r>
          </w:p>
        </w:tc>
      </w:tr>
      <w:tr>
        <w:trPr>
          <w:trHeight w:val="27"/>
        </w:trPr>
        <w:tc>
          <w:tcPr>
            <w:tcW w:w="4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36,217</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36,217</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36,354</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36,354</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1,051</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1,099</w:t>
            </w:r>
          </w:p>
        </w:tc>
      </w:tr>
      <w:tr>
        <w:trPr>
          <w:trHeight w:val="27"/>
        </w:trPr>
        <w:tc>
          <w:tcPr>
            <w:tcW w:w="4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w:t>
            </w:r>
          </w:p>
        </w:tc>
        <w:tc>
          <w:tcPr>
            <w:tcW w:w="1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36,217</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37,268</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36,354</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37,453</w:t>
            </w:r>
          </w:p>
        </w:tc>
      </w:tr>
      <w:tr>
        <w:trPr>
          <w:trHeight w:val="237"/>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4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4.23</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4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3.56</w:t>
            </w:r>
          </w:p>
        </w:tc>
      </w:tr>
      <w:tr>
        <w:trPr>
          <w:trHeight w:val="27"/>
        </w:trPr>
        <w:tc>
          <w:tcPr>
            <w:tcW w:w="4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computes the effect of dilutive securities using the treasury stock method and average market prices during the period. The number of shares issuable on the exercise of share based awards excluded from the calculation of diluted net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per share because the effect of their inclusion would have been anti-dilutive totaled 24,000 and 15,000 for the three months ended April 30, 2016 and 2015,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nine months ended April 30, 2016 and 2015 (in thousands, except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April 30,</w:t>
            </w: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76"/>
        </w:trPr>
        <w:tc>
          <w:tcPr>
            <w:tcW w:w="4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2016</w:t>
            </w: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2015</w:t>
            </w:r>
          </w:p>
        </w:tc>
        <w:tc>
          <w:tcPr>
            <w:tcW w:w="1060" w:type="dxa"/>
            <w:vAlign w:val="bottom"/>
            <w:tcBorders>
              <w:bottom w:val="single" w:sz="8" w:color="auto"/>
            </w:tcBorders>
          </w:tcPr>
          <w:p>
            <w:pPr>
              <w:spacing w:after="0"/>
              <w:rPr>
                <w:sz w:val="24"/>
                <w:szCs w:val="24"/>
                <w:color w:val="auto"/>
              </w:rPr>
            </w:pPr>
          </w:p>
        </w:tc>
      </w:tr>
      <w:tr>
        <w:trPr>
          <w:trHeight w:val="264"/>
        </w:trPr>
        <w:tc>
          <w:tcPr>
            <w:tcW w:w="4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Basic</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Basic</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Diluted</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215,027</w:t>
            </w:r>
          </w:p>
        </w:tc>
        <w:tc>
          <w:tcPr>
            <w:tcW w:w="4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215,027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184,896</w:t>
            </w:r>
          </w:p>
        </w:tc>
        <w:tc>
          <w:tcPr>
            <w:tcW w:w="4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184,896</w:t>
            </w:r>
          </w:p>
        </w:tc>
      </w:tr>
      <w:tr>
        <w:trPr>
          <w:trHeight w:val="27"/>
        </w:trPr>
        <w:tc>
          <w:tcPr>
            <w:tcW w:w="4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36,312</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36,312</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36,310</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36,310</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1,016</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1,052</w:t>
            </w:r>
          </w:p>
        </w:tc>
      </w:tr>
      <w:tr>
        <w:trPr>
          <w:trHeight w:val="27"/>
        </w:trPr>
        <w:tc>
          <w:tcPr>
            <w:tcW w:w="4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w:t>
            </w:r>
          </w:p>
        </w:tc>
        <w:tc>
          <w:tcPr>
            <w:tcW w:w="1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36,312</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37,328</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36,310</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37,362</w:t>
            </w:r>
          </w:p>
        </w:tc>
      </w:tr>
      <w:tr>
        <w:trPr>
          <w:trHeight w:val="237"/>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4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5.76</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4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4.95</w:t>
            </w:r>
          </w:p>
        </w:tc>
      </w:tr>
      <w:tr>
        <w:trPr>
          <w:trHeight w:val="27"/>
        </w:trPr>
        <w:tc>
          <w:tcPr>
            <w:tcW w:w="4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number of shares issuable on the exercise of share based awards excluded from the calculation of diluted net income per share because the effect of their inclusion would have been anti-dilutive totaled 13,000 and 5,000 for the nine months ended April 30, 2016 and 2015, respectively.</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and nine months ended April 30, 2016, the Company paid cash dividends of $0.8100 and $2.0550 per share, respectively ($29.3 million and $74.5 million, respectively, in the aggregate). During the three and nine months ended April 30, 2015, the Company paid cash dividends of $0.6225 and $1.4525 per share, respectively ($22.6 million and $52.8 million, respectively, in the aggregate). On June 8, 2016, the Company’s Board of Directors declared a quarterly cash dividend of $0.8100 per share payable on July 13, 2016 to stockholders of record as of June 28, 2016.</w:t>
      </w:r>
    </w:p>
    <w:p>
      <w:pPr>
        <w:spacing w:after="0" w:line="16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April 30, 2016, July 31, 2015 and April 30, 2015 is summarized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Maturity (a)</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April 30, 2016</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July 31, 2015</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April 30, 2015</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Revolver</w:t>
            </w:r>
          </w:p>
        </w:tc>
        <w:tc>
          <w:tcPr>
            <w:tcW w:w="2660" w:type="dxa"/>
            <w:vAlign w:val="bottom"/>
            <w:tcBorders>
              <w:bottom w:val="single" w:sz="8" w:color="CCEEFF"/>
            </w:tcBorders>
            <w:shd w:val="clear" w:color="auto" w:fill="CCEEFF"/>
          </w:tcPr>
          <w:p>
            <w:pPr>
              <w:jc w:val="center"/>
              <w:ind w:left="1292"/>
              <w:spacing w:after="0"/>
              <w:rPr>
                <w:sz w:val="20"/>
                <w:szCs w:val="20"/>
                <w:color w:val="auto"/>
              </w:rPr>
            </w:pPr>
            <w:r>
              <w:rPr>
                <w:rFonts w:ascii="Arial" w:cs="Arial" w:eastAsia="Arial" w:hAnsi="Arial"/>
                <w:sz w:val="18"/>
                <w:szCs w:val="18"/>
                <w:color w:val="auto"/>
                <w:w w:val="89"/>
              </w:rPr>
              <w:t>2020</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185,000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Credit Facility Term Loan</w:t>
            </w:r>
          </w:p>
        </w:tc>
        <w:tc>
          <w:tcPr>
            <w:tcW w:w="2660" w:type="dxa"/>
            <w:vAlign w:val="bottom"/>
          </w:tcPr>
          <w:p>
            <w:pPr>
              <w:jc w:val="center"/>
              <w:ind w:left="1292"/>
              <w:spacing w:after="0"/>
              <w:rPr>
                <w:sz w:val="20"/>
                <w:szCs w:val="20"/>
                <w:color w:val="auto"/>
              </w:rPr>
            </w:pPr>
            <w:r>
              <w:rPr>
                <w:rFonts w:ascii="Arial" w:cs="Arial" w:eastAsia="Arial" w:hAnsi="Arial"/>
                <w:sz w:val="18"/>
                <w:szCs w:val="18"/>
                <w:color w:val="auto"/>
                <w:w w:val="89"/>
              </w:rPr>
              <w:t>2020</w:t>
            </w:r>
          </w:p>
        </w:tc>
        <w:tc>
          <w:tcPr>
            <w:tcW w:w="4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243,750</w:t>
            </w: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250,000</w:t>
            </w:r>
          </w:p>
        </w:tc>
        <w:tc>
          <w:tcPr>
            <w:tcW w:w="3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Development Bonds</w:t>
            </w:r>
          </w:p>
        </w:tc>
        <w:tc>
          <w:tcPr>
            <w:tcW w:w="2660" w:type="dxa"/>
            <w:vAlign w:val="bottom"/>
            <w:tcBorders>
              <w:bottom w:val="single" w:sz="8" w:color="CCEEFF"/>
            </w:tcBorders>
            <w:shd w:val="clear" w:color="auto" w:fill="CCEEFF"/>
          </w:tcPr>
          <w:p>
            <w:pPr>
              <w:jc w:val="center"/>
              <w:ind w:left="1292"/>
              <w:spacing w:after="0"/>
              <w:rPr>
                <w:sz w:val="20"/>
                <w:szCs w:val="20"/>
                <w:color w:val="auto"/>
              </w:rPr>
            </w:pPr>
            <w:r>
              <w:rPr>
                <w:rFonts w:ascii="Arial" w:cs="Arial" w:eastAsia="Arial" w:hAnsi="Arial"/>
                <w:sz w:val="18"/>
                <w:szCs w:val="18"/>
                <w:color w:val="auto"/>
                <w:w w:val="89"/>
              </w:rPr>
              <w:t>2020</w:t>
            </w: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41,200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Employee Housing Bonds</w:t>
            </w:r>
          </w:p>
        </w:tc>
        <w:tc>
          <w:tcPr>
            <w:tcW w:w="2660" w:type="dxa"/>
            <w:vAlign w:val="bottom"/>
          </w:tcPr>
          <w:p>
            <w:pPr>
              <w:jc w:val="center"/>
              <w:ind w:left="1272"/>
              <w:spacing w:after="0"/>
              <w:rPr>
                <w:sz w:val="20"/>
                <w:szCs w:val="20"/>
                <w:color w:val="auto"/>
              </w:rPr>
            </w:pPr>
            <w:r>
              <w:rPr>
                <w:rFonts w:ascii="Arial" w:cs="Arial" w:eastAsia="Arial" w:hAnsi="Arial"/>
                <w:sz w:val="18"/>
                <w:szCs w:val="18"/>
                <w:color w:val="auto"/>
                <w:w w:val="90"/>
              </w:rPr>
              <w:t>2027-2039</w:t>
            </w:r>
          </w:p>
        </w:tc>
        <w:tc>
          <w:tcPr>
            <w:tcW w:w="4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52,575</w:t>
            </w:r>
          </w:p>
        </w:tc>
      </w:tr>
      <w:tr>
        <w:trPr>
          <w:trHeight w:val="27"/>
        </w:trPr>
        <w:tc>
          <w:tcPr>
            <w:tcW w:w="3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6.50% Notes</w:t>
            </w:r>
          </w:p>
        </w:tc>
        <w:tc>
          <w:tcPr>
            <w:tcW w:w="2660" w:type="dxa"/>
            <w:vAlign w:val="bottom"/>
            <w:tcBorders>
              <w:bottom w:val="single" w:sz="8" w:color="CCEEFF"/>
            </w:tcBorders>
            <w:shd w:val="clear" w:color="auto" w:fill="CCEEFF"/>
          </w:tcPr>
          <w:p>
            <w:pPr>
              <w:jc w:val="center"/>
              <w:ind w:left="1292"/>
              <w:spacing w:after="0"/>
              <w:rPr>
                <w:sz w:val="20"/>
                <w:szCs w:val="20"/>
                <w:color w:val="auto"/>
              </w:rPr>
            </w:pPr>
            <w:r>
              <w:rPr>
                <w:rFonts w:ascii="Arial" w:cs="Arial" w:eastAsia="Arial" w:hAnsi="Arial"/>
                <w:sz w:val="18"/>
                <w:szCs w:val="18"/>
                <w:color w:val="auto"/>
                <w:w w:val="89"/>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215,000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Canyons obligation</w:t>
            </w:r>
          </w:p>
        </w:tc>
        <w:tc>
          <w:tcPr>
            <w:tcW w:w="2660" w:type="dxa"/>
            <w:vAlign w:val="bottom"/>
          </w:tcPr>
          <w:p>
            <w:pPr>
              <w:jc w:val="center"/>
              <w:ind w:left="1292"/>
              <w:spacing w:after="0"/>
              <w:rPr>
                <w:sz w:val="20"/>
                <w:szCs w:val="20"/>
                <w:color w:val="auto"/>
              </w:rPr>
            </w:pPr>
            <w:r>
              <w:rPr>
                <w:rFonts w:ascii="Arial" w:cs="Arial" w:eastAsia="Arial" w:hAnsi="Arial"/>
                <w:sz w:val="18"/>
                <w:szCs w:val="18"/>
                <w:color w:val="auto"/>
                <w:w w:val="89"/>
              </w:rPr>
              <w:t>2063</w:t>
            </w:r>
          </w:p>
        </w:tc>
        <w:tc>
          <w:tcPr>
            <w:tcW w:w="4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321,688</w:t>
            </w: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317,455</w:t>
            </w:r>
          </w:p>
        </w:tc>
        <w:tc>
          <w:tcPr>
            <w:tcW w:w="3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316,056</w:t>
            </w:r>
          </w:p>
        </w:tc>
      </w:tr>
      <w:tr>
        <w:trPr>
          <w:trHeight w:val="27"/>
        </w:trPr>
        <w:tc>
          <w:tcPr>
            <w:tcW w:w="3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jc w:val="center"/>
              <w:ind w:left="1272"/>
              <w:spacing w:after="0"/>
              <w:rPr>
                <w:sz w:val="20"/>
                <w:szCs w:val="20"/>
                <w:color w:val="auto"/>
              </w:rPr>
            </w:pPr>
            <w:r>
              <w:rPr>
                <w:rFonts w:ascii="Arial" w:cs="Arial" w:eastAsia="Arial" w:hAnsi="Arial"/>
                <w:sz w:val="18"/>
                <w:szCs w:val="18"/>
                <w:color w:val="auto"/>
                <w:w w:val="90"/>
              </w:rPr>
              <w:t>2016-2029</w:t>
            </w:r>
          </w:p>
        </w:tc>
        <w:tc>
          <w:tcPr>
            <w:tcW w:w="4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11,165</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11,800</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11,918</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debt</w:t>
            </w:r>
          </w:p>
        </w:tc>
        <w:tc>
          <w:tcPr>
            <w:tcW w:w="26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629,178</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816,830</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636,749</w:t>
            </w:r>
          </w:p>
        </w:tc>
      </w:tr>
      <w:tr>
        <w:trPr>
          <w:trHeight w:val="27"/>
        </w:trPr>
        <w:tc>
          <w:tcPr>
            <w:tcW w:w="3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 (b)</w:t>
            </w:r>
          </w:p>
        </w:tc>
        <w:tc>
          <w:tcPr>
            <w:tcW w:w="26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13,349</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10,154</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256,953</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26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615,829</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806,676</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379,796</w:t>
            </w:r>
          </w:p>
        </w:tc>
      </w:tr>
      <w:tr>
        <w:trPr>
          <w:trHeight w:val="27"/>
        </w:trPr>
        <w:tc>
          <w:tcPr>
            <w:tcW w:w="38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Maturities are based on the Company’s July 31 fiscal year end.</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maturities represent principal payments due in the next 12 months.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Aggregate maturities for debt outstanding as of April 30, 2016 reflected by fiscal year are as follows (in thousands):</w:t>
      </w:r>
    </w:p>
    <w:p>
      <w:pPr>
        <w:spacing w:after="0" w:line="383" w:lineRule="exact"/>
        <w:rPr>
          <w:sz w:val="20"/>
          <w:szCs w:val="20"/>
          <w:color w:val="auto"/>
        </w:rPr>
      </w:pPr>
    </w:p>
    <w:tbl>
      <w:tblPr>
        <w:tblLayout w:type="fixed"/>
        <w:tblInd w:w="308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2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2017</w:t>
            </w:r>
          </w:p>
        </w:tc>
        <w:tc>
          <w:tcPr>
            <w:tcW w:w="17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13,354</w:t>
            </w:r>
          </w:p>
        </w:tc>
      </w:tr>
      <w:tr>
        <w:trPr>
          <w:trHeight w:val="27"/>
        </w:trPr>
        <w:tc>
          <w:tcPr>
            <w:tcW w:w="2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7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13,397</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2019</w:t>
            </w:r>
          </w:p>
        </w:tc>
        <w:tc>
          <w:tcPr>
            <w:tcW w:w="17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13,455</w:t>
            </w:r>
          </w:p>
        </w:tc>
      </w:tr>
      <w:tr>
        <w:trPr>
          <w:trHeight w:val="27"/>
        </w:trPr>
        <w:tc>
          <w:tcPr>
            <w:tcW w:w="2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7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204,141</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7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381,562</w:t>
            </w:r>
          </w:p>
        </w:tc>
      </w:tr>
      <w:tr>
        <w:trPr>
          <w:trHeight w:val="27"/>
        </w:trPr>
        <w:tc>
          <w:tcPr>
            <w:tcW w:w="2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629,178</w:t>
            </w:r>
          </w:p>
        </w:tc>
      </w:tr>
      <w:tr>
        <w:trPr>
          <w:trHeight w:val="20"/>
        </w:trPr>
        <w:tc>
          <w:tcPr>
            <w:tcW w:w="2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incurred gross interest expense of $10.4 million and $13.7 million for the three months ended April 30, 2016 and 2015, respectively, of which $0.2 million and $0.4 million, respectively, were amortization of deferred financing costs. The Company incurred gross interest expense of $31.9 million and $41.1 million for the nine months ended April 30, 2016 and 2015, respectively, of which $0.7 million and $1.1 million, respectively, were amortization of deferred financing costs. The Company had no capitalized interest during the three and nine months ended April 30, 2016 and 2015.</w:t>
      </w:r>
    </w:p>
    <w:p>
      <w:pPr>
        <w:spacing w:after="0" w:line="16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Wilmot Mountain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19, 2016, the Company, through a wholly-owned subsidiary, acquired all of the assets of Wilmot, a ski area located in Wisconsin near the Illinois state line, for total cash consideration of $20.2 million. The purchase price was allocated to identifiable tangible and intangible assets acquired and liabilities assumed based on their estimated fair value at the acquisition date. The Company has completed its preliminary purchase price allocation and has recorded $12.5 million in property, plant and equipment, $0.2 million in other assets, $0.4 million in other intangible assets (with a weighted-average amortization period of 10 years) and $0.3 million of assumed liabilities on the date of acquisition. The excess of the purchase price over the aggregate fair value of assets acquired and liabilities assumed was $7.4 million and was recorded as goodwill. The goodwill recognized is attributable primarily to expected synergies, the assembled workforce of Wilmot and other factors. The goodwill is expected to be deductible for income tax purposes. The operating results of Wilmot are reported within the Mountain segment.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Perisher Ski Resort</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30, 2015, the Company, through a wholly-owned subsidiary, acquired all of the entities that operate Perisher in New South Wales, Australia for total cash consideration of $124.6 million, net of cash acquired. The Company funded the cash purchase price through borrowings under the revolver portion of its senior credit facility (“Credit Agreement”). Perisher holds a long-term lease and license with the New South Wales Government under the National Parks and Wildlife Act, which expires in 2048 with a 20-year renewal option. The Company acquired the entities that hold the assets and conduct operations, including the long-term lease and license with the New South Wales government for the ski area and related amenities of Perisher, as well as assumed liabilities.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The following summarizes the preliminary estimated fair value of the identifiable assets acquired and liabilities assumed at the date the Perisher transaction was effective (in thousands).</w:t>
      </w:r>
    </w:p>
    <w:p>
      <w:pPr>
        <w:spacing w:after="0" w:line="32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Estimates of Fair Value at</w:t>
            </w:r>
          </w:p>
        </w:tc>
      </w:tr>
      <w:tr>
        <w:trPr>
          <w:trHeight w:val="234"/>
        </w:trPr>
        <w:tc>
          <w:tcPr>
            <w:tcW w:w="4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5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Effective Date of Transaction</w:t>
            </w:r>
          </w:p>
        </w:tc>
      </w:tr>
      <w:tr>
        <w:trPr>
          <w:trHeight w:val="27"/>
        </w:trPr>
        <w:tc>
          <w:tcPr>
            <w:tcW w:w="4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4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4,859</w:t>
            </w:r>
          </w:p>
        </w:tc>
      </w:tr>
      <w:tr>
        <w:trPr>
          <w:trHeight w:val="27"/>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126,287</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4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5,458</w:t>
            </w:r>
          </w:p>
        </w:tc>
      </w:tr>
      <w:tr>
        <w:trPr>
          <w:trHeight w:val="27"/>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31,657</w:t>
            </w:r>
          </w:p>
        </w:tc>
      </w:tr>
      <w:tr>
        <w:trPr>
          <w:trHeight w:val="27"/>
        </w:trPr>
        <w:tc>
          <w:tcPr>
            <w:tcW w:w="4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assets acquired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170,280</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11,394</w:t>
            </w:r>
          </w:p>
        </w:tc>
      </w:tr>
      <w:tr>
        <w:trPr>
          <w:trHeight w:val="27"/>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4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15,906</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Deferred income tax liability, net</w:t>
            </w:r>
          </w:p>
        </w:tc>
        <w:tc>
          <w:tcPr>
            <w:tcW w:w="14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18,429</w:t>
            </w:r>
          </w:p>
        </w:tc>
      </w:tr>
      <w:tr>
        <w:trPr>
          <w:trHeight w:val="27"/>
        </w:trPr>
        <w:tc>
          <w:tcPr>
            <w:tcW w:w="4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69"/>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assumed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45,729</w:t>
            </w:r>
          </w:p>
        </w:tc>
      </w:tr>
      <w:tr>
        <w:trPr>
          <w:trHeight w:val="237"/>
        </w:trPr>
        <w:tc>
          <w:tcPr>
            <w:tcW w:w="4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purchase price, net of cash acquired</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124,551</w:t>
            </w:r>
          </w:p>
        </w:tc>
      </w:tr>
      <w:tr>
        <w:trPr>
          <w:trHeight w:val="27"/>
        </w:trPr>
        <w:tc>
          <w:tcPr>
            <w:tcW w:w="4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estimated fair value of assets acquired and liabilities assumed in the acquisition of Perisher are preliminary and are based on the information that was available as of the acquisition date to estimate the fair value of assets acquired and liabilities assumed. The Company believes this information provides a reasonable basis for estimating the fair value of assets acquired and liabilities assumed, but the Company is obtaining additional information necessary to finalize those fair value. Therefore, the preliminary measurements of fair value reflected are subject to change. The Company expects to finalize the valuation and complete the purchase price allocation as soon as practicable but no later than one year from the acquisition date.</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excess of the purchase price over the aggregate fair value of assets acquired and liabilities assumed was recorded as goodwill. The goodwill recognized is attributable primarily to expected synergies, the assembled workforce of Perisher and other factors. None of the goodwill is expected to be deductible for income tax purposes under Australian tax law. The intangible assets primarily consist of trademarks and customer lists. The definite-lived intangible assets have a weighted-average amortization period of approximately 4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 City Mountain Resort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11, 2014, VR CPC Holdings, Inc. (“VR CPC”), a wholly-owned subsidiary of the Company, and Greater Park City Company, Powdr Corp., Greater Properties, Inc., Park Properties, Inc., and Powdr Development Company (collectively, the “Park City Sellers”) entered into a Purchase and Sale Agreement (the “Purchase Agreement”) providing for the acquisition of substantially all of the assets related to Park City Mountain Resort in Park City, Utah. The cash purchase price was $182.5 million and was funded through borrowings under the revolver portion of the Credit Agreement.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provided under the Purchase Agreement, the Company acquired the property, assets and operations of Park City Mountain Resort, which includes the ski area and related amenities, from the Park City Sellers and assumed leases of certain realty, acquired certain assets, and assumed certain liabilities of the Park City Sellers relating to Park City Mountain Resort. In addition to the Purchase Agreement, the parties settled the litigation related to the validity of a lease of certain land owned by Talisker Land Holdings, LLC (“Talisker”) under the ski terrain of Park City Mountain Resort (the “Park City Litigation”). In connection with settling the Park City Litigation, the Company recorded a non-cash gain of $16.4 million in the Mountain segment for the nine months ended April 30, 2015. The gain on litigation settlement represented the estimated fair value of the rents (including damages and interest) due the Company from the Park City Sellers for their use of land and improvements from the Canyons transaction date of May 29, 2013 to the Park City Mountain Resort acquisition date. Additionally, the Company assigned a fair value of $10.1 million to the settlement of the Park City Litigation that applied to the period prior to the Canyons transaction. The combined fair value of the Park City Litigation settlement of $26.5 million was determined by applying market capitalization rates to the estimated fair market value of the land and improvements, plus an estimate of statutory damages and interest. The estimated fair value of the Park City Litigation settlement was not received in cash, but was instead reflected as part of the cash price negotiated for the Park City Mountain Resort acquisition. Accordingly, the estimated fair value of the Park City Litigation settlement was included in the total consideration for the acquisition of Park City Mountain Resort. However, the gain on the Park City Litigation settlement was recorded as a separate transaction, as discussed above. Under an agreement entered into in conjunction with the Canyons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transaction, the Company made a $10.0 million payment to Talisker in the nine months ended April 30, 2015, resulting from the settlement of the Park City Litigation.</w:t>
      </w:r>
    </w:p>
    <w:p>
      <w:pPr>
        <w:spacing w:after="0" w:line="25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summarizes the fair value of the identifiable assets acquired and liabilities assumed at the date the Park City transaction was effective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Acquisition Date Fair Value</w:t>
            </w:r>
          </w:p>
        </w:tc>
      </w:tr>
      <w:tr>
        <w:trPr>
          <w:trHeight w:val="27"/>
        </w:trPr>
        <w:tc>
          <w:tcPr>
            <w:tcW w:w="4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3,075</w:t>
            </w: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76,605</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Deferred income tax assets, net</w:t>
            </w:r>
          </w:p>
        </w:tc>
        <w:tc>
          <w:tcPr>
            <w:tcW w:w="16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7,428</w:t>
            </w: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held for sale and investment</w:t>
            </w:r>
          </w:p>
        </w:tc>
        <w:tc>
          <w:tcPr>
            <w:tcW w:w="16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27,650</w:t>
            </w: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4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92,516</w:t>
            </w:r>
          </w:p>
        </w:tc>
      </w:tr>
      <w:tr>
        <w:trPr>
          <w:trHeight w:val="237"/>
        </w:trPr>
        <w:tc>
          <w:tcPr>
            <w:tcW w:w="4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identifiable assets acquired</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215,204</w:t>
            </w:r>
          </w:p>
        </w:tc>
      </w:tr>
      <w:tr>
        <w:trPr>
          <w:trHeight w:val="27"/>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6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4,319</w:t>
            </w:r>
          </w:p>
        </w:tc>
      </w:tr>
      <w:tr>
        <w:trPr>
          <w:trHeight w:val="27"/>
        </w:trPr>
        <w:tc>
          <w:tcPr>
            <w:tcW w:w="4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assumed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6,254</w:t>
            </w:r>
          </w:p>
        </w:tc>
      </w:tr>
      <w:tr>
        <w:trPr>
          <w:trHeight w:val="237"/>
        </w:trPr>
        <w:tc>
          <w:tcPr>
            <w:tcW w:w="4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purchase price</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208,950</w:t>
            </w:r>
          </w:p>
        </w:tc>
      </w:tr>
      <w:tr>
        <w:trPr>
          <w:trHeight w:val="27"/>
        </w:trPr>
        <w:tc>
          <w:tcPr>
            <w:tcW w:w="4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excess of the purchase price over the aggregate fair value of assets acquired and liabilities assumed was recorded as goodwill. The goodwill recognized is attributable primarily to expected synergies, the assembled workforce of Park City Mountain Resort and other factors. The majority of goodwill is expected to be deductible for income tax purposes. The intangible assets primarily consist of trademarks, water rights, and customer lists. The intangible assets have a weighted-average amortization period of approximately 46 years. The operating results of Park City, which are recorded in the Mountain segment, contributed $35.4 million and $63.8 million of net revenue (including an allocation of season pass revenue) for the three and nine months ended April 30, 2015, respectively. The Company recognized $0.8 million of transaction related expenses in Mountain operating expense in the Consolidated Condensed Statements of Operations for the nine months ended April 30, 2015.</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land and improvements in the Park City Mountain Resort ski area (excluding the base area) were part of the Talisker leased premises to Park City Mountain Resort and were subject to the Park City Litigation as of the Canyons transaction date (May 29, 2013), and as such, were recorded as a deposit (“Park City Deposit”) for the potential future interests in the land and associated improvements at its estimated fair value in conjunction with the Canyons transaction. Upon settlement of the Park City Litigation, the land and improvements associated with the Talisker leased premises became subject to the Canyons lease, and as a result, the Company reclassified the Park City Deposit to the respective assets within property, plant and equipment in the nine months ended April 30, 2015. The inclusion of the land and certain land improvements that was subject to the Park City Litigation and now included in the Canyons lease requires no additional consideration from the Company to Talisker, but the financial contribution from the operations of Park City Mountain Resort will be included as part of the calculation of EBITDA for the resort operations, and as a result, factor into the participating contingent payments (see Note 8, Fair Value Measurements). The majority of the assets acquired under the Park City Mountain Resort acquisition, although not under lease, are subject to the terms and conditions of the Canyons lease.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Perisher and Park City Mountain Resort Pro Forma Financial Information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presents the unaudited pro forma consolidated financial information of the Company as if the acquisitions of Perisher and Park City Mountain Resort were completed on August 1, 2014. The following unaudited pro forma financial information includes adjustments for (i) depreciation on acquired property, plant and equipment; (ii) amortization of intangible assets recorded at the date of the transactions; (iii) related-party land leases; and (iv) transaction and business integration related costs. This unaudited pro forma financial information is presented for informational purposes only and does not purport to be indicative of the results of future operations or the results that would have occurred had the transaction taken place on August 1, 2014 (in thousands, except per share amounts).</w:t>
      </w:r>
    </w:p>
    <w:p>
      <w:pPr>
        <w:spacing w:after="0" w:line="351"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Three Months Ended</w:t>
            </w:r>
          </w:p>
        </w:tc>
        <w:tc>
          <w:tcPr>
            <w:tcW w:w="208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Nine Months Ended April</w:t>
            </w:r>
          </w:p>
        </w:tc>
      </w:tr>
      <w:tr>
        <w:trPr>
          <w:trHeight w:val="234"/>
        </w:trPr>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April 30,</w:t>
            </w:r>
          </w:p>
        </w:tc>
        <w:tc>
          <w:tcPr>
            <w:tcW w:w="500" w:type="dxa"/>
            <w:vAlign w:val="bottom"/>
          </w:tcPr>
          <w:p>
            <w:pPr>
              <w:spacing w:after="0"/>
              <w:rPr>
                <w:sz w:val="20"/>
                <w:szCs w:val="20"/>
                <w:color w:val="auto"/>
              </w:rPr>
            </w:pPr>
          </w:p>
        </w:tc>
        <w:tc>
          <w:tcPr>
            <w:tcW w:w="1580" w:type="dxa"/>
            <w:vAlign w:val="bottom"/>
          </w:tcPr>
          <w:p>
            <w:pPr>
              <w:jc w:val="right"/>
              <w:ind w:right="830"/>
              <w:spacing w:after="0"/>
              <w:rPr>
                <w:sz w:val="20"/>
                <w:szCs w:val="20"/>
                <w:color w:val="auto"/>
              </w:rPr>
            </w:pPr>
            <w:r>
              <w:rPr>
                <w:rFonts w:ascii="Arial" w:cs="Arial" w:eastAsia="Arial" w:hAnsi="Arial"/>
                <w:sz w:val="18"/>
                <w:szCs w:val="18"/>
                <w:b w:val="1"/>
                <w:bCs w:val="1"/>
                <w:color w:val="auto"/>
              </w:rPr>
              <w:t>30,</w:t>
            </w:r>
          </w:p>
        </w:tc>
      </w:tr>
      <w:tr>
        <w:trPr>
          <w:trHeight w:val="270"/>
        </w:trPr>
        <w:tc>
          <w:tcPr>
            <w:tcW w:w="5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500" w:type="dxa"/>
            <w:vAlign w:val="bottom"/>
          </w:tcPr>
          <w:p>
            <w:pPr>
              <w:spacing w:after="0"/>
              <w:rPr>
                <w:sz w:val="23"/>
                <w:szCs w:val="23"/>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2015</w:t>
            </w:r>
          </w:p>
        </w:tc>
      </w:tr>
      <w:tr>
        <w:trPr>
          <w:trHeight w:val="27"/>
        </w:trPr>
        <w:tc>
          <w:tcPr>
            <w:tcW w:w="5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revenue</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579,672</w:t>
            </w:r>
          </w:p>
        </w:tc>
        <w:tc>
          <w:tcPr>
            <w:tcW w:w="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1,282,926</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Pro forma net income attributable to Vail Resorts, Inc.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129,187</w:t>
            </w: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186,810</w:t>
            </w: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Pro forma basic net income per share attributable to Vail Resorts, Inc.</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w w:val="95"/>
              </w:rPr>
              <w:t>Pro forma diluted net income per share attributable to Vail Resorts,</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3.45</w:t>
            </w: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5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5460" w:type="dxa"/>
            <w:vAlign w:val="bottom"/>
          </w:tcPr>
          <w:p>
            <w:pPr>
              <w:ind w:left="400"/>
              <w:spacing w:after="0"/>
              <w:rPr>
                <w:sz w:val="20"/>
                <w:szCs w:val="20"/>
                <w:color w:val="auto"/>
              </w:rPr>
            </w:pPr>
            <w:r>
              <w:rPr>
                <w:rFonts w:ascii="Arial" w:cs="Arial" w:eastAsia="Arial" w:hAnsi="Arial"/>
                <w:sz w:val="18"/>
                <w:szCs w:val="18"/>
                <w:b w:val="1"/>
                <w:bCs w:val="1"/>
                <w:color w:val="auto"/>
              </w:rPr>
              <w:t>Supplementary Balance Sheet Information</w:t>
            </w:r>
          </w:p>
        </w:tc>
        <w:tc>
          <w:tcPr>
            <w:tcW w:w="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24"/>
        </w:trPr>
        <w:tc>
          <w:tcPr>
            <w:tcW w:w="5720" w:type="dxa"/>
            <w:vAlign w:val="bottom"/>
            <w:gridSpan w:val="2"/>
          </w:tcPr>
          <w:p>
            <w:pPr>
              <w:spacing w:after="0"/>
              <w:rPr>
                <w:sz w:val="20"/>
                <w:szCs w:val="20"/>
                <w:color w:val="auto"/>
              </w:rPr>
            </w:pPr>
            <w:r>
              <w:rPr>
                <w:rFonts w:ascii="Arial" w:cs="Arial" w:eastAsia="Arial" w:hAnsi="Arial"/>
                <w:sz w:val="18"/>
                <w:szCs w:val="18"/>
                <w:color w:val="auto"/>
                <w:w w:val="98"/>
              </w:rPr>
              <w:t>The composition of property, plant and equipment follows (in thousands):</w:t>
            </w: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9"/>
        </w:trPr>
        <w:tc>
          <w:tcPr>
            <w:tcW w:w="2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April 30, 2016</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July 31, 2015</w:t>
            </w: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April 30, 2015</w:t>
            </w: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439,815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431,854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413,775</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Buildings and building improvements</w:t>
            </w:r>
          </w:p>
        </w:tc>
        <w:tc>
          <w:tcPr>
            <w:tcW w:w="62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1,028,408</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1,006,821</w:t>
            </w:r>
          </w:p>
        </w:tc>
        <w:tc>
          <w:tcPr>
            <w:tcW w:w="3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957,594</w:t>
            </w:r>
          </w:p>
        </w:tc>
      </w:tr>
      <w:tr>
        <w:trPr>
          <w:trHeight w:val="27"/>
        </w:trPr>
        <w:tc>
          <w:tcPr>
            <w:tcW w:w="57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6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878,730</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815,946</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777,011</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62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305,159</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286,863</w:t>
            </w:r>
          </w:p>
        </w:tc>
        <w:tc>
          <w:tcPr>
            <w:tcW w:w="3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284,403</w:t>
            </w:r>
          </w:p>
        </w:tc>
      </w:tr>
      <w:tr>
        <w:trPr>
          <w:trHeight w:val="27"/>
        </w:trPr>
        <w:tc>
          <w:tcPr>
            <w:tcW w:w="57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6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112,551</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106,433</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105,482</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Vehicles</w:t>
            </w:r>
          </w:p>
        </w:tc>
        <w:tc>
          <w:tcPr>
            <w:tcW w:w="62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62,166</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61,036</w:t>
            </w:r>
          </w:p>
        </w:tc>
        <w:tc>
          <w:tcPr>
            <w:tcW w:w="3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59,708</w:t>
            </w:r>
          </w:p>
        </w:tc>
      </w:tr>
      <w:tr>
        <w:trPr>
          <w:trHeight w:val="27"/>
        </w:trPr>
        <w:tc>
          <w:tcPr>
            <w:tcW w:w="57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6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28,019</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53,158</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20,245</w:t>
            </w:r>
          </w:p>
        </w:tc>
      </w:tr>
      <w:tr>
        <w:trPr>
          <w:trHeight w:val="237"/>
        </w:trPr>
        <w:tc>
          <w:tcPr>
            <w:tcW w:w="260" w:type="dxa"/>
            <w:vAlign w:val="bottom"/>
            <w:tcBorders>
              <w:top w:val="single" w:sz="8" w:color="auto"/>
            </w:tcBorders>
          </w:tcPr>
          <w:p>
            <w:pPr>
              <w:spacing w:after="0"/>
              <w:rPr>
                <w:sz w:val="20"/>
                <w:szCs w:val="20"/>
                <w:color w:val="auto"/>
              </w:rPr>
            </w:pPr>
          </w:p>
        </w:tc>
        <w:tc>
          <w:tcPr>
            <w:tcW w:w="5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Gross property, plant and equipment</w:t>
            </w:r>
          </w:p>
        </w:tc>
        <w:tc>
          <w:tcPr>
            <w:tcW w:w="6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2,854,848</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2,762,111</w:t>
            </w: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2,618,218</w:t>
            </w:r>
          </w:p>
        </w:tc>
      </w:tr>
      <w:tr>
        <w:trPr>
          <w:trHeight w:val="27"/>
        </w:trPr>
        <w:tc>
          <w:tcPr>
            <w:tcW w:w="57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6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(1,484,474)</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(1,375,836)</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(1,359,125)</w:t>
            </w:r>
          </w:p>
        </w:tc>
      </w:tr>
      <w:tr>
        <w:trPr>
          <w:trHeight w:val="237"/>
        </w:trPr>
        <w:tc>
          <w:tcPr>
            <w:tcW w:w="260" w:type="dxa"/>
            <w:vAlign w:val="bottom"/>
            <w:tcBorders>
              <w:top w:val="single" w:sz="8" w:color="auto"/>
            </w:tcBorders>
          </w:tcPr>
          <w:p>
            <w:pPr>
              <w:spacing w:after="0"/>
              <w:rPr>
                <w:sz w:val="20"/>
                <w:szCs w:val="20"/>
                <w:color w:val="auto"/>
              </w:rPr>
            </w:pPr>
          </w:p>
        </w:tc>
        <w:tc>
          <w:tcPr>
            <w:tcW w:w="5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1,370,374</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1,386,275</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1,259,093</w:t>
            </w:r>
          </w:p>
        </w:tc>
      </w:tr>
      <w:tr>
        <w:trPr>
          <w:trHeight w:val="27"/>
        </w:trPr>
        <w:tc>
          <w:tcPr>
            <w:tcW w:w="26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April 30, 2016</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July 31, 2015</w:t>
            </w: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April 30, 2015</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47,144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62,099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52,371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164,927</w:t>
            </w:r>
          </w:p>
        </w:tc>
        <w:tc>
          <w:tcPr>
            <w:tcW w:w="3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145,949</w:t>
            </w:r>
          </w:p>
        </w:tc>
        <w:tc>
          <w:tcPr>
            <w:tcW w:w="3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115,300</w:t>
            </w:r>
          </w:p>
        </w:tc>
      </w:tr>
      <w:tr>
        <w:trPr>
          <w:trHeight w:val="27"/>
        </w:trPr>
        <w:tc>
          <w:tcPr>
            <w:tcW w:w="4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16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34,403</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33,461</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38,594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16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29,625</w:t>
            </w:r>
          </w:p>
        </w:tc>
        <w:tc>
          <w:tcPr>
            <w:tcW w:w="3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24,436</w:t>
            </w:r>
          </w:p>
        </w:tc>
        <w:tc>
          <w:tcPr>
            <w:tcW w:w="3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26,459</w:t>
            </w:r>
          </w:p>
        </w:tc>
      </w:tr>
      <w:tr>
        <w:trPr>
          <w:trHeight w:val="27"/>
        </w:trPr>
        <w:tc>
          <w:tcPr>
            <w:tcW w:w="4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16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21,641</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19,336</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accruals</w:t>
            </w:r>
          </w:p>
        </w:tc>
        <w:tc>
          <w:tcPr>
            <w:tcW w:w="16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40,349</w:t>
            </w:r>
          </w:p>
        </w:tc>
        <w:tc>
          <w:tcPr>
            <w:tcW w:w="3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46,018</w:t>
            </w:r>
          </w:p>
        </w:tc>
        <w:tc>
          <w:tcPr>
            <w:tcW w:w="3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42,133</w:t>
            </w:r>
          </w:p>
        </w:tc>
      </w:tr>
      <w:tr>
        <w:trPr>
          <w:trHeight w:val="27"/>
        </w:trPr>
        <w:tc>
          <w:tcPr>
            <w:tcW w:w="47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accrued liabilities</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338,089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331,299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293,056</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14</w:t>
            </w: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composition of other long-term liabilities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April 30, 2016</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July 31, 2015</w:t>
            </w: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April 30, 2015</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123,341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126,104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128,295</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17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28,005</w:t>
            </w:r>
          </w:p>
        </w:tc>
        <w:tc>
          <w:tcPr>
            <w:tcW w:w="3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29,997</w:t>
            </w:r>
          </w:p>
        </w:tc>
        <w:tc>
          <w:tcPr>
            <w:tcW w:w="3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29,325</w:t>
            </w:r>
          </w:p>
        </w:tc>
      </w:tr>
      <w:tr>
        <w:trPr>
          <w:trHeight w:val="27"/>
        </w:trPr>
        <w:tc>
          <w:tcPr>
            <w:tcW w:w="4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7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97,952</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99,815</w:t>
            </w:r>
          </w:p>
        </w:tc>
        <w:tc>
          <w:tcPr>
            <w:tcW w:w="3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78,312</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other long-term liabilities</w:t>
            </w:r>
          </w:p>
        </w:tc>
        <w:tc>
          <w:tcPr>
            <w:tcW w:w="1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249,298</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255,916</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235,932</w:t>
            </w:r>
          </w:p>
        </w:tc>
      </w:tr>
      <w:tr>
        <w:trPr>
          <w:trHeight w:val="27"/>
        </w:trPr>
        <w:tc>
          <w:tcPr>
            <w:tcW w:w="46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Variable Interest Entities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the primary beneficiary of four employee housing entities (collectively, the “Employee Housing Entities”), Breckenridge Terrace, LLC, The Tarnes at BC, LLC, BC Housing, LLC and Tenderfoot Seasonal Housing, LLC, which are VIEs, and the Company has consolidated these VIEs in its Consolidated Condensed Financial Statements. As a group, as of April 30, 2016, the Employee Housing Entities had total assets of $25.7 million (primarily recorded in property, plant and equipment, net) and total liabilities of $64.3 million (primarily recorded in long-term debt as “Employee Housing Bonds”). The Company’s lenders have issued letters of credit totaling $53.4 million under the Company’s Credit Agreement related to Employee Housing Bonds. Payments under the letters of credit would be triggered in the event that one of the entities defaults on required payments. The letters of credit have no default provisions.</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the primary beneficiary of Avon Partners II, LLC (“APII”), which is a VIE. APII owns commercial space and the Company leases substantially all of that space. APII had total assets of $4.1 million (primarily recorded in property, plant and equipment, net) and no debt as of April 30, 2016.</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and Contingent Consideration (as defined below) measured at fair value (all other assets and liabilities measured at fair value are immaterial) (in thousands):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right="214"/>
              <w:spacing w:after="0"/>
              <w:rPr>
                <w:sz w:val="20"/>
                <w:szCs w:val="20"/>
                <w:color w:val="auto"/>
              </w:rPr>
            </w:pPr>
            <w:r>
              <w:rPr>
                <w:rFonts w:ascii="Arial" w:cs="Arial" w:eastAsia="Arial" w:hAnsi="Arial"/>
                <w:sz w:val="14"/>
                <w:szCs w:val="14"/>
                <w:b w:val="1"/>
                <w:bCs w:val="1"/>
                <w:color w:val="auto"/>
                <w:w w:val="94"/>
              </w:rPr>
              <w:t>Fair Value Measurement as of April 30, 2016</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41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Balance at April 30, 2016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10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2,402</w:t>
            </w:r>
          </w:p>
        </w:tc>
        <w:tc>
          <w:tcPr>
            <w:tcW w:w="110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2,402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110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6,900</w:t>
            </w: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527"/>
        </w:trPr>
        <w:tc>
          <w:tcPr>
            <w:tcW w:w="4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center"/>
              <w:ind w:right="214"/>
              <w:spacing w:after="0"/>
              <w:rPr>
                <w:sz w:val="20"/>
                <w:szCs w:val="20"/>
                <w:color w:val="auto"/>
              </w:rPr>
            </w:pPr>
            <w:r>
              <w:rPr>
                <w:rFonts w:ascii="Arial" w:cs="Arial" w:eastAsia="Arial" w:hAnsi="Arial"/>
                <w:sz w:val="14"/>
                <w:szCs w:val="14"/>
                <w:b w:val="1"/>
                <w:bCs w:val="1"/>
                <w:color w:val="auto"/>
                <w:w w:val="93"/>
              </w:rPr>
              <w:t>Fair Value Measurement as of July 31, 2015</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1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Balance at July 31, 2015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110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7,577</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2,401</w:t>
            </w:r>
          </w:p>
        </w:tc>
        <w:tc>
          <w:tcPr>
            <w:tcW w:w="110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2,401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10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110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6,900</w:t>
            </w: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527"/>
        </w:trPr>
        <w:tc>
          <w:tcPr>
            <w:tcW w:w="4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center"/>
              <w:ind w:right="214"/>
              <w:spacing w:after="0"/>
              <w:rPr>
                <w:sz w:val="20"/>
                <w:szCs w:val="20"/>
                <w:color w:val="auto"/>
              </w:rPr>
            </w:pPr>
            <w:r>
              <w:rPr>
                <w:rFonts w:ascii="Arial" w:cs="Arial" w:eastAsia="Arial" w:hAnsi="Arial"/>
                <w:sz w:val="14"/>
                <w:szCs w:val="14"/>
                <w:b w:val="1"/>
                <w:bCs w:val="1"/>
                <w:color w:val="auto"/>
                <w:w w:val="94"/>
              </w:rPr>
              <w:t>Fair Value Measurement as of April 30, 2015</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1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Balance at April 30, 2015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110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7,578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2,401</w:t>
            </w:r>
          </w:p>
        </w:tc>
        <w:tc>
          <w:tcPr>
            <w:tcW w:w="110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2,401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10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10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6,000</w:t>
            </w: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cash equivalents are measured utilizing quoted market prices or pricing models whereby all significant inputs are either observable or corroborated by observable market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nine months ended April 30, 2016 and 2015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238125</wp:posOffset>
            </wp:positionV>
            <wp:extent cx="6011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38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Balance as of July 31, 2015 and 2014, respectively</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6,900</w:t>
            </w: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10,500</w:t>
            </w:r>
          </w:p>
        </w:tc>
      </w:tr>
      <w:tr>
        <w:trPr>
          <w:trHeight w:val="27"/>
        </w:trPr>
        <w:tc>
          <w:tcPr>
            <w:tcW w:w="4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37"/>
        </w:trPr>
        <w:tc>
          <w:tcPr>
            <w:tcW w:w="4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as of April 30, 2016 and 2015, respectively</w:t>
            </w:r>
          </w:p>
        </w:tc>
        <w:tc>
          <w:tcPr>
            <w:tcW w:w="15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94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w:t>
            </w:r>
          </w:p>
        </w:tc>
      </w:tr>
      <w:tr>
        <w:trPr>
          <w:trHeight w:val="27"/>
        </w:trPr>
        <w:tc>
          <w:tcPr>
            <w:tcW w:w="4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lease for Canyons provides for participating contingent payments to Talisker of 42% of the amount by which EBITDA for the resort operations, as calculated under the lease, exceed approximately $35 million, as established at the transaction date, with such threshold amount subsequently increased annually by an inflation linked index and a 10% adjustment for any capital improvements or investments made under the lease by the Company (the “Contingent Consideration”). The fair value of Contingent Consideration includes the resort operations of Park City Mountain Resort, following completion of the acquisition, in the calculation of EBITDA on which participating contingent payments are made, and increases the EBITDA threshold before which participating contingent payments are made by 10% of the purchase price paid by the Company for Park City Mountain Resort along with all future capital expenditures associated with Park City Mountain Resort. The Company estimated the fair value of the Contingent Consideration payments using an option pricing valuation model. As of April 30, 2016, key assumptions included a discount rate of 11.5%, volatility of 20.0%, and credit risk of 2.5%. The model also incorporates assumptions for EBITDA and</w:t>
      </w:r>
    </w:p>
    <w:p>
      <w:pPr>
        <w:sectPr>
          <w:pgSz w:w="11900" w:h="16838" w:orient="portrait"/>
          <w:cols w:equalWidth="0" w:num="1">
            <w:col w:w="11420"/>
          </w:cols>
          <w:pgMar w:left="240" w:top="584"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84" w:right="239" w:bottom="1440" w:gutter="0" w:footer="0" w:header="0"/>
          <w:type w:val="continuous"/>
        </w:sectPr>
      </w:pPr>
    </w:p>
    <w:bookmarkStart w:id="17" w:name="page18"/>
    <w:bookmarkEnd w:id="17"/>
    <w:p>
      <w:pPr>
        <w:jc w:val="both"/>
        <w:spacing w:after="0" w:line="279" w:lineRule="auto"/>
        <w:rPr>
          <w:sz w:val="20"/>
          <w:szCs w:val="20"/>
          <w:color w:val="auto"/>
        </w:rPr>
      </w:pPr>
      <w:r>
        <w:rPr>
          <w:rFonts w:ascii="Arial" w:cs="Arial" w:eastAsia="Arial" w:hAnsi="Arial"/>
          <w:sz w:val="17"/>
          <w:szCs w:val="17"/>
          <w:color w:val="auto"/>
        </w:rPr>
        <w:t>capital expenditures, which are unobservable inputs and thus are considered Level 3 inputs. As Contingent Consideration is classified as a liability, the liability is remeasured to fair value at each reporting date until the contingency is resolved. During the nine months ended April 30, 2016, the Company did not record a change in the estimated fair value of the participating contingent payments. The estimated fair value of the Contingent Consideration is $6.9 million as of April 30, 2016, and this liability is recorded in other long-term liabilities in the Consolidated Condensed Balance Sheets.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credit-enhances $8.0 million of bonds issued by Holland Creek Metropolitan District (“HCMD”) through an $8.1 million letter of credit issued under the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and the Company has recorded a liability of $1.8 million primarily within “other long-term liabilities” in the accompanying Consolidated Condensed Balance Sheets, as of April 30, 2016, July 31, 2015 and April 30, 2015, respectively, with respect to the estimated present value of future RSRMD capital improvement fees. The Company estimates it will make capital improvement fee payments under this arrangement through the fiscal year ending July 31, 2029.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April 30, 2016, the Company had various other letters of credit for $64.6 million, consisting primarily of $53.4 million to support the Employee Housing Bonds and $11.2 million for workers’ compensation, general liability construction related deductibles and other activities. The Company also had surety bonds of $9.3 million as of April 30, 2016, primarily to provide collateral for its workers compensation self-insurance programs.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future amounts paid.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fair value of the indemnification or guarantee to be immaterial based upon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 Insurance</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 self-insured for claims under its health benefit plans and for the majority of workers’ compensation claims. Workers compensation claims are subject to stop loss policies. The self-insurance liability related to workers’ compensation is determined actuarially based on claims filed. The self-insurance liability related to claims under the Company’s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 party to various lawsuits arising in the ordinary course of business. Management believes the Company has adequate insurance coverage and/or has accrued for loss contingencies for all known matters deemed to be probable losses and estimable. As of April 30, 2016, July 31, 2015 and April 30, 2015, the accrual for the above loss contingencies was not material individually and in the aggregate.</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three reportable segments: Mountain, Lodging and Real Estate. The Mountain segment includes the operations of the Company’s mountain resorts and Urban ski areas and related ancillary services. The Lodging segment includes the operations of all of the Company’s owned hotels in the U.S., RockResorts, NPS concessionaire properties, condominium management, CME and mountain resort golf operations. The Real Estate segment owns and develops real estate in and around the Company’s resort communities. The Company’s reportable segments, although integral to the success of each other, offer distinctly different products and services and require different types of management focus. As such, these segments are managed separately.</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reports its segment results using Reported EBITDA (defined as segment net revenue less segment operating expenses, plus or minus segment equity investment income or loss, plus gain on litigation settlement and for the Real Estate segment, plus gain on sale of real property), which is a non-GAAP financial measure. The Company reports segment results in a manner consistent with management’s internal reporting of operating results to the chief operating decision maker (the Chief Executive Officer) for purposes of evaluating segment performance.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Reported EBITDA is not a measure of financial performance under GAAP. 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Condensed Financial Statements as indicators of financial performance or liquidity. Because Reported EBITDA is not a measurement determined in accordance with GAAP and thus is susceptible to varying calculations, Reported EBITDA as presented may not be comparable to other similarly titled measures of other companies.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utilizes Reported EBITDA in evaluating performance of the Company and in allocating resources to its segments. Mountain Reported EBITDA consists of Mountain net revenue less Mountain operating expense plus or minus Mountain equity investment income or loss plus gain on litigation settlement. Lodging Reported EBITDA consists of Lodging net revenue less Lodging operating expense. Real Estate Reported EBITDA consists of Real Estate net revenue less Real Estate operating expense plus gain on sale of real property. All segment expenses include an allocation of corporate administrative expenses. Assets are not allocated between segments, or used to evaluate performance, except as shown in the table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2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Pr>
          <w:p>
            <w:pPr>
              <w:spacing w:after="0"/>
              <w:rPr>
                <w:sz w:val="16"/>
                <w:szCs w:val="16"/>
                <w:color w:val="auto"/>
              </w:rPr>
            </w:pPr>
          </w:p>
        </w:tc>
        <w:tc>
          <w:tcPr>
            <w:tcW w:w="250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Nine Months Ended April 30,</w:t>
            </w:r>
          </w:p>
        </w:tc>
      </w:tr>
      <w:tr>
        <w:trPr>
          <w:trHeight w:val="276"/>
        </w:trPr>
        <w:tc>
          <w:tcPr>
            <w:tcW w:w="4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Lift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334,789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285,249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642,627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524,537</w:t>
            </w:r>
          </w:p>
        </w:tc>
      </w:tr>
      <w:tr>
        <w:trPr>
          <w:trHeight w:val="27"/>
        </w:trPr>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74,279</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66,216</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139,703</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123,511</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Dining</w:t>
            </w:r>
          </w:p>
        </w:tc>
        <w:tc>
          <w:tcPr>
            <w:tcW w:w="7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51,000</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44,003</w:t>
            </w:r>
          </w:p>
        </w:tc>
        <w:tc>
          <w:tcPr>
            <w:tcW w:w="4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108,093</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90,661</w:t>
            </w:r>
          </w:p>
        </w:tc>
      </w:tr>
      <w:tr>
        <w:trPr>
          <w:trHeight w:val="27"/>
        </w:trPr>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79,384</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71,078</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214,748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195,563</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33,353</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33,005</w:t>
            </w:r>
          </w:p>
        </w:tc>
        <w:tc>
          <w:tcPr>
            <w:tcW w:w="4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101,439</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88,696</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572,805</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499,551</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1,206,610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1,022,968</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Lodging</w:t>
            </w:r>
          </w:p>
        </w:tc>
        <w:tc>
          <w:tcPr>
            <w:tcW w:w="7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72,933</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67,323</w:t>
            </w:r>
          </w:p>
        </w:tc>
        <w:tc>
          <w:tcPr>
            <w:tcW w:w="4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200,026</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185,180</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Resort net revenue</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645,738</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566,874</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1,406,636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1,208,148</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7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1,734</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12,469</w:t>
            </w:r>
          </w:p>
        </w:tc>
        <w:tc>
          <w:tcPr>
            <w:tcW w:w="4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14,766</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29,694</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647,472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579,343</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1,421,402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1,237,842</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281,968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244,675</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729,382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645,593</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Lodging</w:t>
            </w:r>
          </w:p>
        </w:tc>
        <w:tc>
          <w:tcPr>
            <w:tcW w:w="7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57,422</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54,726</w:t>
            </w:r>
          </w:p>
        </w:tc>
        <w:tc>
          <w:tcPr>
            <w:tcW w:w="4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176,170</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166,407</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Resort operating expense</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339,390</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299,401</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905,552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812,000</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7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3,085</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14,028</w:t>
            </w:r>
          </w:p>
        </w:tc>
        <w:tc>
          <w:tcPr>
            <w:tcW w:w="4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17,043</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35,513</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expense</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342,475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313,429</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922,595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847,513</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8"/>
                <w:szCs w:val="18"/>
                <w:color w:val="auto"/>
              </w:rPr>
              <w:t>Gain on litigation settlement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16,400</w:t>
            </w:r>
          </w:p>
        </w:tc>
      </w:tr>
      <w:tr>
        <w:trPr>
          <w:trHeight w:val="27"/>
        </w:trPr>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real property</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Mountain equity investment income (loss), net</w:t>
            </w:r>
          </w:p>
        </w:tc>
        <w:tc>
          <w:tcPr>
            <w:tcW w:w="7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(129)</w:t>
            </w:r>
          </w:p>
        </w:tc>
        <w:tc>
          <w:tcPr>
            <w:tcW w:w="4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396</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EBITDA:</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Mountain</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291,048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254,747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478,220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394,171</w:t>
            </w:r>
          </w:p>
        </w:tc>
      </w:tr>
      <w:tr>
        <w:trPr>
          <w:trHeight w:val="27"/>
        </w:trPr>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Lodging</w:t>
            </w:r>
          </w:p>
        </w:tc>
        <w:tc>
          <w:tcPr>
            <w:tcW w:w="7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15,511</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12,597</w:t>
            </w: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23,856</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18,773</w:t>
            </w:r>
          </w:p>
        </w:tc>
      </w:tr>
      <w:tr>
        <w:trPr>
          <w:trHeight w:val="237"/>
        </w:trPr>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Resort</w:t>
            </w:r>
          </w:p>
        </w:tc>
        <w:tc>
          <w:tcPr>
            <w:tcW w:w="7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306,559</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267,344</w:t>
            </w: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502,076</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412,944</w:t>
            </w:r>
          </w:p>
        </w:tc>
      </w:tr>
      <w:tr>
        <w:trPr>
          <w:trHeight w:val="27"/>
        </w:trPr>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w:t>
            </w:r>
          </w:p>
        </w:tc>
        <w:tc>
          <w:tcPr>
            <w:tcW w:w="7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(1,408)</w:t>
            </w: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r>
      <w:tr>
        <w:trPr>
          <w:trHeight w:val="237"/>
        </w:trPr>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Reported EBITDA</w:t>
            </w:r>
          </w:p>
        </w:tc>
        <w:tc>
          <w:tcPr>
            <w:tcW w:w="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305,227</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265,936</w:t>
            </w:r>
          </w:p>
        </w:tc>
        <w:tc>
          <w:tcPr>
            <w:tcW w:w="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501,609</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407,276</w:t>
            </w:r>
          </w:p>
        </w:tc>
      </w:tr>
      <w:tr>
        <w:trPr>
          <w:trHeight w:val="67"/>
        </w:trPr>
        <w:tc>
          <w:tcPr>
            <w:tcW w:w="49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56"/>
        </w:trPr>
        <w:tc>
          <w:tcPr>
            <w:tcW w:w="4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Real estate held for sale and investment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116,874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137,740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116,874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137,740</w:t>
            </w:r>
          </w:p>
        </w:tc>
      </w:tr>
      <w:tr>
        <w:trPr>
          <w:trHeight w:val="27"/>
        </w:trPr>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76"/>
        </w:trPr>
        <w:tc>
          <w:tcPr>
            <w:tcW w:w="49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Reconciliation to net income attributable to Vail Resorts, Inc.:</w:t>
            </w: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Reported EBITDA</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305,227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265,936</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501,609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407,276</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(41,472)</w:t>
            </w:r>
          </w:p>
        </w:tc>
        <w:tc>
          <w:tcPr>
            <w:tcW w:w="3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(38,242)</w:t>
            </w:r>
          </w:p>
        </w:tc>
        <w:tc>
          <w:tcPr>
            <w:tcW w:w="4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(120,713)</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(111,587)</w:t>
            </w:r>
          </w:p>
        </w:tc>
      </w:tr>
      <w:tr>
        <w:trPr>
          <w:trHeight w:val="27"/>
        </w:trPr>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4,550</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Loss on disposal of fixed assets and other, net</w:t>
            </w:r>
          </w:p>
        </w:tc>
        <w:tc>
          <w:tcPr>
            <w:tcW w:w="7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(3,149)</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7"/>
        </w:trPr>
        <w:tc>
          <w:tcPr>
            <w:tcW w:w="4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 net</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119</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509</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(10,400)</w:t>
            </w:r>
          </w:p>
        </w:tc>
        <w:tc>
          <w:tcPr>
            <w:tcW w:w="3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(13,735)</w:t>
            </w:r>
          </w:p>
        </w:tc>
        <w:tc>
          <w:tcPr>
            <w:tcW w:w="4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(31,905)</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(41,110)</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253,341</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214,007</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346,351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258,432</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7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(95,804)</w:t>
            </w:r>
          </w:p>
        </w:tc>
        <w:tc>
          <w:tcPr>
            <w:tcW w:w="3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(80,605)</w:t>
            </w:r>
          </w:p>
        </w:tc>
        <w:tc>
          <w:tcPr>
            <w:tcW w:w="4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(131,613)</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(73,654)</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157,537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133,402</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214,738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184,778</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7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289</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118</w:t>
            </w:r>
          </w:p>
        </w:tc>
      </w:tr>
      <w:tr>
        <w:trPr>
          <w:trHeight w:val="27"/>
        </w:trPr>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157,632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133,410</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215,027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184,896</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6" w:right="239" w:bottom="1440" w:gutter="0" w:footer="0" w:header="0"/>
          <w:type w:val="continuous"/>
        </w:sectPr>
      </w:pPr>
    </w:p>
    <w:bookmarkStart w:id="20" w:name="page21"/>
    <w:bookmarkEnd w:id="20"/>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9, 2006, the Company’s Board of Directors approved a share repurchase program, authorizing the Company to repurchase up to 3,000,000 shares of common stock. On July 16, 2008, the Company’s Board of Directors increased the authorization by an additional 3,000,000 shares, and on December 4, 2015, the Company’s Board of Directors increased the authorization by an additional 1,500,000 shares for a total authorization to repurchase shares of up to 7,500,000 shares. During the three months ended April 30, 2016 and 2015, the Company repurchased 108,036 shares (at a total cost of $13.8 million) and zero shares of common stock, respectively. During the nine months ended April 30, 2016 and 2015, the Company repurchased 485,866 shares (at a total cost of $53.8 million) and zero shares of common stock, respectively. Since inception of its share repurchase program through April 30, 2016, the Company has repurchased 5,434,977 shares at a cost of approximately $247.0 million. As of April 30, 2016, 2,065,023 shares remained available to repurchase under the existing share repurchase program which has no expiration date. Shares of common stock purchased pursuant to the repurchase program will be held as treasury shares and may be used for the issuance of shares under the Company’s employee share award plan.</w:t>
      </w:r>
    </w:p>
    <w:p>
      <w:pPr>
        <w:spacing w:after="0" w:line="16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had Federal net operating loss (“NOL”) carryforwards that expired in the year ended July 31, 2008 and were limited in deductibility each year under Section 382 of the Internal Revenue Code. The Company had only been able to use these NOL carryforwards to the extent of approximately $8.0 million per year through December 31, 2007 (the “Section 382 Amount”). However, during the year ended July 31, 2005, the Company amended previously filed tax returns (for tax years 1997-2002) in an effort to remove the restrictions under Section 382 of the Internal Revenue Code (the “Code”) on approximately $73.8 million of NOL carryforwards to reduce future taxable income. As a result, the Company requested a refund related to the amended returns in the amount of $6.2 million and reduced its Federal tax liability in the amount of $19.6 million in subsequent returns. These NOL carryforwards relate to fresh start accounting from the Company’s reorganization in 1992. During the year ended July 31, 2006, the Internal Revenue Service (“IRS”) completed its examination of the Company’s filing position in these amended returns and disallowed the Company’s request for refund and its position to remove the restrictions under Section 382 of the Code. The Company appealed the examiner’s disallowance of these NOL carryforwards to the Office of Appeals. In December 2008, the Office of Appeals denied the Company’s appeal, as well as a request for mediation. The Company disagreed with the IRS interpretation disallowing the utilization of the NOL’s and in August 2009, the Company filed a complaint in the United States District Court for the District of Colorado against the United States of America seeking a refund of approximately $6.2 million in Federal income taxes paid, plus interest. On July 1, 2011, the District Court granted the Company summary judgment, concluding that the IRS’s decision disallowing the utilization of the NOLs was inappropriate. The computations themselves, however, remained in dispute, and the District Court’s ruling was subject to appeal by the IRS. Subsequently, the District Court proceedings were continued pending settlement discussions between the parties.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filed two related tax proceedings in the United States Tax Court regarding calculation of NOL carryover deductions for tax years 2006, 2007, and 2008. The two proceedings involved substantially the same issues as the litigation in the District Court for tax years 2000 and 2001 in which the Company disagreed with the IRS as to the utilization of NOLs. Like the District Court proceedings, the Tax Court proceedings were continued pending settlement discussions between the parties.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29, 2015, the parties completed the execution of a comprehensive settlement agreement resolving all issues and computations in the above mentioned pending proceedings, which allowed the Company to utilize a significant portion of the NOLs. As a result, the Company reversed $27.7 million of other long-term liabilities related to uncertain tax benefits, and recorded income tax benefits of $23.8 million for the utilization of the NOLs, including the reversal of accrued interest and penalties, within its Consolidated Condensed Statements of Operations for the nine months ended April 30, 2015.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April 30, 2016 (“Form 10-Q”) as “we,” “us,” “our” or the “Company.”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our Annual Report on Form 10-K for the fiscal year ended July 31, 2015 (“Form 10-K”) and the Consolidated Condensed Financial Statements as of April 30, 2016 and 2015 and for the three and nine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this Form 10-Q and in our other filings with the Securities and Exchange Commission (“SEC”), including the risks described in Item 1A “Risk Factors” of Part I of the Form 10-K.</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MD&amp;A includes discussion of financial performance within each of our segments. We have chosen to specifically include Reported EBITDA (defined as segment net revenue less segment operating expense, plus or minus segment equity investment income or loss, plus gain on litigation settlement and for the Real Estate segment, plus gain on sale of real property) and Net Debt (defined as long-term debt plus long-term debt due within one year less cash and cash equivalents), in the following discussion because we consider these measurements to be significant indications of our financial performance and available capital resources. Reported EBITDA and Net Debt are not measures of financial performance or liquidity under accounting principles generally accepted in the United States (“GAAP”). We utilize Reported EBITDA in evaluating our performance and in allocating resources to our segments. Refer to the end of the “Results of Operations” section below for a reconciliation of Reported EBITDA to net income attributable to Vail Resorts, Inc. We also believe that Net Debt is an important measurement as it is an indicator of our ability to obtain additional capital resources for our future cash needs. Refer to the end of the “Results of Operations” section below for a reconciliation of Net Debt to long-term debt.</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net change in cash and cash equivalents or other financial statement data presented in the Consolidated Condensed Financial Statements as indicators of financial performance or liquidity. Because Reported EBITDA and Net Debt are not measurements determined in accordance with GAAP and are susceptible to varying calculations, Reported EBITDA and Net Debt, as presented, may not be comparable to other similarly titled measures of other companies.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Resort is the combination of the Mountain and Lodging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Mountain segment is comprised of the operations of mountain resort properties at Vail, Breckenridge, Keystone and Beaver Creek mountain resorts in Colorado (“Colorado” resorts); Park City mountain resort in Utah (“Park City” comprised of the former standalone Park City Mountain Resort acquired in September 2014 and the former Canyons Resort (“Canyons”) in Park City, Utah); Heavenly, Northstar and Kirkwood mountain resorts in the Lake Tahoe area of California and Nevada (“Tahoe” resorts); Perisher Ski Resort (“Perisher,” acquired in June 2015) in New South Wales, Australia; and, the ski areas of Wilmot Mountain in Wisconsin (“Wilmot,” acquired in January 2016), Afton Alps in Minnesota and Mount Brighton in Michigan (“Urban” ski areas); as well as ancillary services, primarily including ski school, dining and retail/rental operations, and for Perisher including lodging and transportation operations. Mountain segment revenue is seasonal, with the majority of revenue earned from our United States (“U.S.”) mountain resorts and ski areas occurring in our second and third fiscal quarters and the majority of revenue earned from Perisher occurring in our first and fourth fiscal quarters. Our U.S. mountain resorts are typically open for business from mid-November through mid-April, which is the peak operating season for the Mountain segment, and Perisher is typically open for business from June to early October. Our single largest source of Mountain segment revenue is the sale of lift tickets (including season passes), which represented approximately 58% and 57% of Mountain net revenue for the three months ended April 30, 2016 and 2015, respectively, and approximately 53% and 51% of Mountain net revenue for the nine months ended April 30, 2016 and 2015,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2" w:name="page23"/>
    <w:bookmarkEnd w:id="22"/>
    <w:p>
      <w:pPr>
        <w:jc w:val="both"/>
        <w:spacing w:after="0" w:line="297" w:lineRule="auto"/>
        <w:rPr>
          <w:sz w:val="20"/>
          <w:szCs w:val="20"/>
          <w:color w:val="auto"/>
        </w:rPr>
      </w:pPr>
      <w:r>
        <w:rPr>
          <w:rFonts w:ascii="Arial" w:cs="Arial" w:eastAsia="Arial" w:hAnsi="Arial"/>
          <w:sz w:val="16"/>
          <w:szCs w:val="16"/>
          <w:color w:val="auto"/>
        </w:rPr>
        <w:t>Lift revenue is driven by volume and pricing. Pricing is impacted by both absolute pricing as well as the demographic mix of guests, which impacts the price points at which various products are purchased. The demographic mix of guests to our U.S. mountain resorts is divided into two primary categories: (i) out-of-state and international (“Destination”) guests and (ii) in-state and local (“Local”) guests. For the 2015/2016 U.S. ski season, Destination guests comprised approximately 58% of our skier visits, while Local guests comprised approximately 42% of our skier visits. For the 2014/2015 ski season, Destination guests comprised approximately 59% of our skier visits, while Local guests comprised approximately 41% of our skier visits.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Destination guests generally purchase our higher-priced lift ticket products and utilize more ancillary services such as ski school, dining and retail/rental, as well as the lodging at or around our mountain resorts. Destination guest visitation is less likely to be impacted by changes in the weather, but can be more impacted by adverse economic conditions or the global geopolitical climate. Local guests tend to be more value-oriented and weather sensitive. We offer a variety of season pass products for all of our mountain resorts and Urban ski areas, marketed towards both Destination and Local guests. Our season pass product offerings range from providing access to one or a combination of our mountain resorts and Urban ski areas to our Epic Season Pass that allows pass holders unlimited and unrestricted access to all of our mountain resorts and Urban ski areas. Our season pass products provide a compelling value proposition to our guests, which in turn assists us in developing a loyal base of customers who commit to ski at our mountain resorts and Urban ski areas generally in advance of the ski season and typically ski more days each season at our mountain resorts and Urban ski areas than those guests who do not buy season passes. As such, our season pass program drives strong customer loyalty; mitigates exposure to many weather sensitive guests; and generates additional ancillary spending. In addition, our season pass products attract new guests to our mountain resorts and Urban ski areas. Our season pass products, including the Epic Season Pass, are predominately sold prior to the start of the ski season. Season pass revenue, although primarily collected prior to the ski season, is recognized in the Consolidated Condensed Statement of Operations ratably over the ski season. For both the 2015/2016 and 2014/2015 U.S. ski seasons, approximately 41% of total lift revenue was comprised of season pass revenue.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United States Department of Agriculture Forest Service (“Forest Service”) fees, credit card fees, retail/rental cost of sales and labor, ski school labor and dining operations; as such, profit margins can fluctuate greatly based on the level of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Operations within the Lodging segment include (i) ownership/management of a group of luxury hotels and condominiums through the RockResorts brand proximate to our U.S. mountain resorts; (ii) ownership/management of non-RockResorts branded hotels and condominiums proximate to our U.S. mountain resorts; (iii) National Park Service (“NPS”) concessionaire properties, including the Grand Teton Lodge Company (“GTLC”); (iv) Colorado Mountain Express (“CME”), a Colorado resort ground transportation company; and (v) mountain resort golf courses.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performance of lodging properties (including managed condominium rooms) proximate to our mountain resorts, and CME, is closely aligned with the performance of our Mountain segment and generally experiences similar seasonal trends, particularly with respect to visitation by Destination guests, and represented approximately 90% and 93% of Lodging segment revenue (excluding Lodging segment revenue associated with reimbursement of payroll costs) for the three months ended April 30, 2016 and 2015, respectively, and 77% and 79% of Lodging segment revenue (excluding Lodging segment revenue associated with reimbursement of payroll costs) for the nine months ended April 30, 2016 and 2015, respectively. Management primarily focuses on Lodging net revenue excluding payroll cost reimbursement and Lodging operating expense excluding reimbursed payroll costs (which are not measures of financial performance under GAAP) as the reimbursements are made based upon the costs incurred with no added margin. As such, the revenue and corresponding expense associated with reimbursement of payroll costs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mid-May to mid-October), mountain resort golf operations and seasonally low operations from our other owned and managed properties and businesses.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principal activities of our Real Estate segment include the marketing and selling of remaining condominium units available for sale, which primarily relate to The Ritz-Carlton Residences, Vail, and One Ski Hill Place in Breckenridge; the sale of land parcels to third-party developers; planning for future real estate development projects, including zoning and acquisition of applicable permits; and, the occasional purchase of selected strategic land parcels for future development. Revenue from vertical development projects is not recognized until closing of individual units within a project, which occurs after substantial completion of the project. Additionally, our real estate development projects most often result in the creation of certain resort assets that provide additional benefit to the Mountain and Lodging segments. We continue undertaking preliminary planning and design work on future projects and are pursuing opportunities with third-party developers rather than undertaking our own significant vertical development projects. We believe that, due to our low carrying cost of real estate land investments, we are well situated to promote future projects with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70" w:lineRule="exact"/>
        <w:rPr>
          <w:sz w:val="20"/>
          <w:szCs w:val="20"/>
          <w:color w:val="auto"/>
        </w:rPr>
      </w:pPr>
    </w:p>
    <w:p>
      <w:pPr>
        <w:jc w:val="both"/>
        <w:ind w:left="640" w:hanging="321"/>
        <w:spacing w:after="0" w:line="271"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and amount of snowfall can have an impact on Mountain and Lodging revenue particularly in regards to skier visits and the duration and frequency of guest visitation. To help mitigate this impact, we sell a variety of season pass products prior to the beginning of the ski season resulting in a more stabilized stream of lift revenue. Additionally, our season pass products provide a compelling value proposition to our guests, which in turn creates a guest commitment predominately prior to the start of the ski season. In March 2016, we began our early season pass sales program for the 2016/2017 ski season. Through May 31, 2016, our early U.S. season pass sales for the upcoming 2016/2017 U.S. ski season have increased approximately 29% in units and increased approximately 34% in sales dollars, compared to the prior year period ended June 2, 2015. However, we cannot predict if this favorable trend will continue through the Fall 2016 U.S. season pass sales campaign or the overall impact that season pass sales will have on lift revenue for the 2016/2017 U.S. ski season.</w:t>
      </w:r>
    </w:p>
    <w:p>
      <w:pPr>
        <w:spacing w:after="0" w:line="178" w:lineRule="exact"/>
        <w:rPr>
          <w:rFonts w:ascii="Arial" w:cs="Arial" w:eastAsia="Arial" w:hAnsi="Arial"/>
          <w:sz w:val="17"/>
          <w:szCs w:val="17"/>
          <w:color w:val="auto"/>
        </w:rPr>
      </w:pPr>
    </w:p>
    <w:p>
      <w:pPr>
        <w:jc w:val="both"/>
        <w:ind w:left="640" w:hanging="321"/>
        <w:spacing w:after="0" w:line="276"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Although many key economic indicators in the U.S. have held steady through the first third of calendar year 2016, including consumer confidence and the unemployment rate, the growth in the U.S. economy may be challenged by declining or slowing growth in economies outside of the U.S., or other factors, which may include devaluation of currencies against the U.S. dollar and fluctuating commodity prices. Given these economic trends and uncertainties, we cannot predict what the impact will be on overall travel and leisure spending or more specifically, on our guest visitation, guest spending or other related trends for the upcoming 2016/2017 U.S. ski season.</w:t>
      </w:r>
    </w:p>
    <w:p>
      <w:pPr>
        <w:spacing w:after="0" w:line="172" w:lineRule="exact"/>
        <w:rPr>
          <w:rFonts w:ascii="Arial" w:cs="Arial" w:eastAsia="Arial" w:hAnsi="Arial"/>
          <w:sz w:val="17"/>
          <w:szCs w:val="17"/>
          <w:color w:val="auto"/>
        </w:rPr>
      </w:pPr>
    </w:p>
    <w:p>
      <w:pPr>
        <w:jc w:val="both"/>
        <w:ind w:left="640" w:hanging="321"/>
        <w:spacing w:after="0" w:line="25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June 30, 2015, we acquired the entities that operate Perisher Ski Resort (“Perisher”) in New South Wales, Australia for total cash consideration of AU$176.2 million (approximately US$134.8 million), excluding cash acquired and assumed working capital. The cash purchase price was funded through borrowings from the revolving portion of our senior credit facility (“Credit Agreement”). We expect that Perisher will positively contribute to our results of operations with its operating season occurring during our first and fourth fiscal quarters. However, we cannot predict whether we will realize all of the synergies expected from the operations of Perisher and the ultimate impact Perisher will have on our future results of operations.</w:t>
      </w:r>
    </w:p>
    <w:p>
      <w:pPr>
        <w:spacing w:after="0" w:line="193"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The estimated fair values of assets acquired and liabilities assumed in the Perisher acquisition are preliminary and are based on the information that was available as of the acquisition date to estimate the fair value of assets acquired and liabilities assumed. We believe that information provides a reasonable basis for estimating the fair values of assets acquired and liabilities assumed, but we are obtaining additional information necessary to finalize those fair values. Therefore, the preliminary measurements of fair value reflected within the Consolidated Condensed Balance Sheets as of April 30, 2016 are subject to change.</w:t>
      </w:r>
    </w:p>
    <w:p>
      <w:pPr>
        <w:spacing w:after="0" w:line="188" w:lineRule="exact"/>
        <w:rPr>
          <w:rFonts w:ascii="Arial" w:cs="Arial" w:eastAsia="Arial" w:hAnsi="Arial"/>
          <w:sz w:val="18"/>
          <w:szCs w:val="18"/>
          <w:color w:val="auto"/>
        </w:rPr>
      </w:pPr>
    </w:p>
    <w:p>
      <w:pPr>
        <w:jc w:val="both"/>
        <w:ind w:left="640" w:hanging="321"/>
        <w:spacing w:after="0" w:line="273"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of April 30, 2016, we had $68.6 million in cash and cash equivalents, as well as $327.4 million available under the revolver component of our Credit Agreement (which represents the total commitment of $400.0 million less certain letters of credit outstanding of $72.6 million). During the three and nine months ended April 30, 2016 we repurchased 108,036 and 485,866 shares of our common stock, respectively, at a total cost of approximately $13.8 million and $53.8 million, respectively. Additionally, in January 2016 we completed the acquisition of a ski area, Wilmot Mountain in Wisconsin, for cash consideration of approximately $20.2 million. We believe that the terms of our Credit Agreement allow for sufficient flexibility in our ability to make future acquisitions, investments, distributions to stockholders and incur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jc w:val="both"/>
        <w:ind w:left="640"/>
        <w:spacing w:after="0" w:line="306" w:lineRule="auto"/>
        <w:rPr>
          <w:sz w:val="20"/>
          <w:szCs w:val="20"/>
          <w:color w:val="auto"/>
        </w:rPr>
      </w:pPr>
      <w:r>
        <w:rPr>
          <w:rFonts w:ascii="Arial" w:cs="Arial" w:eastAsia="Arial" w:hAnsi="Arial"/>
          <w:sz w:val="18"/>
          <w:szCs w:val="18"/>
          <w:color w:val="auto"/>
        </w:rPr>
        <w:t>additional debt. This, combined with the continued positive cash flow from operating activities of our Mountain and Lodging segments, primarily occurring during our second and third fiscal quarters, less resort capital expenditures has and is anticipated to continue to provide us with substantial liquidity. We believe our liquidity will allow us to consider strategic investments and other forms of returning value to our stockholders including additional share repurchases and the continued payment of a quarterly cash dividend.</w:t>
      </w:r>
    </w:p>
    <w:p>
      <w:pPr>
        <w:spacing w:after="0" w:line="160" w:lineRule="exact"/>
        <w:rPr>
          <w:sz w:val="20"/>
          <w:szCs w:val="20"/>
          <w:color w:val="auto"/>
        </w:rPr>
      </w:pPr>
    </w:p>
    <w:p>
      <w:pPr>
        <w:jc w:val="both"/>
        <w:ind w:left="640" w:hanging="321"/>
        <w:spacing w:after="0" w:line="25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 Estate Reported EBITDA is highly dependent on, among other things, the timing of closings on condominium units available for sale, which determines when revenue and associated cost of sales are recognized. Changes to the anticipated timing or mix of closing on one or more real estate projects, or unit closings within a real estate project, could materially impact Real Estate Reported EBITDA for a particular quarter or fiscal year. As of April 30, 2016, we had six units at The Ritz-Carlton Residences, Vail and two units at One Ski Hill Place in Breckenridge available for sale with a remaining book value of approximately $18.5 million for both projects. We cannot predict the ultimate number of units we will sell, the ultimate price we will receive, or when the units will sell, although we currently anticipate the selling process will take less than two years to complete assuming continued stability in resort real estate markets.</w:t>
      </w:r>
    </w:p>
    <w:p>
      <w:pPr>
        <w:spacing w:after="0" w:line="189" w:lineRule="exact"/>
        <w:rPr>
          <w:rFonts w:ascii="Arial" w:cs="Arial" w:eastAsia="Arial" w:hAnsi="Arial"/>
          <w:sz w:val="18"/>
          <w:szCs w:val="18"/>
          <w:color w:val="auto"/>
        </w:rPr>
      </w:pPr>
    </w:p>
    <w:p>
      <w:pPr>
        <w:jc w:val="both"/>
        <w:ind w:left="640" w:hanging="321"/>
        <w:spacing w:after="0" w:line="287"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accordance with GAAP, we test goodwill and indefinite-lived intangible assets for impairment annually as well as on an interim basis to the extent factors or indicators become apparent that could reduce the fair value of our reporting units or indefinite-lived intangible assets below book value. We also evaluate long-lived assets for potential impairment whenever events or changes in circumstances indicate that the carrying amount of an asset may not be recoverable. We evaluate the recoverability of our goodwill by estimating the future discounted cash flows of our reporting units and terminal values of the businesses using projected future levels of income, as well as business trends, prospects and market and economic conditions. We evaluate the recoverability of indefinite-lived intangible assets using the income approach based upon estimated future revenue streams, and we evaluate long-lived assets based upon estimated undiscounted future cash flows. Our fiscal 2015 annual impairment test did not result in a goodwill or indefinite-lived intangible asset impairment. However, if lower than projected levels of cash flows were to occur due to prolonged abnormal weather conditions or a prolonged weakness in general economic conditions, among other risks, this could cause less than expected growth and/or a reduction in terminal values and cash flows and could result in an impairment charge attributable to certain goodwill, indefinite-lived intangible assets and/or long-lived assets, negatively affecting our results of operations and stockholders’ equity.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is a summary of operating results for the three and nine months ended April 30, 2016, compared to the three and nine months ended April 30, 2015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80" w:type="dxa"/>
            <w:vAlign w:val="bottom"/>
            <w:gridSpan w:val="3"/>
          </w:tcPr>
          <w:p>
            <w:pPr>
              <w:jc w:val="right"/>
              <w:ind w:right="253"/>
              <w:spacing w:after="0"/>
              <w:rPr>
                <w:sz w:val="20"/>
                <w:szCs w:val="20"/>
                <w:color w:val="auto"/>
              </w:rPr>
            </w:pPr>
            <w:r>
              <w:rPr>
                <w:rFonts w:ascii="Arial" w:cs="Arial" w:eastAsia="Arial" w:hAnsi="Arial"/>
                <w:sz w:val="14"/>
                <w:szCs w:val="14"/>
                <w:b w:val="1"/>
                <w:bCs w:val="1"/>
                <w:color w:val="auto"/>
                <w:w w:val="97"/>
              </w:rPr>
              <w:t>Three Months Ended April 30,</w:t>
            </w:r>
          </w:p>
        </w:tc>
        <w:tc>
          <w:tcPr>
            <w:tcW w:w="300" w:type="dxa"/>
            <w:vAlign w:val="bottom"/>
          </w:tcPr>
          <w:p>
            <w:pPr>
              <w:spacing w:after="0"/>
              <w:rPr>
                <w:sz w:val="16"/>
                <w:szCs w:val="16"/>
                <w:color w:val="auto"/>
              </w:rPr>
            </w:pPr>
          </w:p>
        </w:tc>
        <w:tc>
          <w:tcPr>
            <w:tcW w:w="218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w w:val="99"/>
              </w:rPr>
              <w:t>Nine Months Ended April 30,</w:t>
            </w:r>
          </w:p>
        </w:tc>
      </w:tr>
      <w:tr>
        <w:trPr>
          <w:trHeight w:val="276"/>
        </w:trPr>
        <w:tc>
          <w:tcPr>
            <w:tcW w:w="4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291,048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254,747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478,220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394,171</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124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15,511</w:t>
            </w:r>
          </w:p>
        </w:tc>
        <w:tc>
          <w:tcPr>
            <w:tcW w:w="340" w:type="dxa"/>
            <w:vAlign w:val="bottom"/>
          </w:tcPr>
          <w:p>
            <w:pPr>
              <w:spacing w:after="0"/>
              <w:rPr>
                <w:sz w:val="21"/>
                <w:szCs w:val="21"/>
                <w:color w:val="auto"/>
              </w:rPr>
            </w:pP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12,597</w:t>
            </w:r>
          </w:p>
        </w:tc>
        <w:tc>
          <w:tcPr>
            <w:tcW w:w="30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23,856</w:t>
            </w:r>
          </w:p>
        </w:tc>
        <w:tc>
          <w:tcPr>
            <w:tcW w:w="3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18,773</w:t>
            </w:r>
          </w:p>
        </w:tc>
      </w:tr>
      <w:tr>
        <w:trPr>
          <w:trHeight w:val="27"/>
        </w:trPr>
        <w:tc>
          <w:tcPr>
            <w:tcW w:w="4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Reported EBITDA</w:t>
            </w:r>
          </w:p>
        </w:tc>
        <w:tc>
          <w:tcPr>
            <w:tcW w:w="1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306,559</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267,344</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502,076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412,944</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1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(1,332)</w:t>
            </w:r>
          </w:p>
        </w:tc>
        <w:tc>
          <w:tcPr>
            <w:tcW w:w="34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(1,408)</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(5,668)</w:t>
            </w:r>
          </w:p>
        </w:tc>
      </w:tr>
      <w:tr>
        <w:trPr>
          <w:trHeight w:val="27"/>
        </w:trPr>
        <w:tc>
          <w:tcPr>
            <w:tcW w:w="4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253,341</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214,007</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346,351</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258,432</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157,632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133,410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215,027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184,896</w:t>
            </w:r>
          </w:p>
        </w:tc>
      </w:tr>
      <w:tr>
        <w:trPr>
          <w:trHeight w:val="27"/>
        </w:trPr>
        <w:tc>
          <w:tcPr>
            <w:tcW w:w="4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the segment results and other items can be found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1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2016 compared to the three months ended April 30, 2015</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segment operating results for the three months ended April 30, 2016 and 2015 are presented by category as follows (in thousands, except effective ticket price (“ETP”)):</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4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1020" w:type="dxa"/>
            <w:vAlign w:val="bottom"/>
          </w:tcPr>
          <w:p>
            <w:pPr>
              <w:spacing w:after="0"/>
              <w:rPr>
                <w:sz w:val="14"/>
                <w:szCs w:val="14"/>
                <w:color w:val="auto"/>
              </w:rPr>
            </w:pPr>
          </w:p>
        </w:tc>
        <w:tc>
          <w:tcPr>
            <w:tcW w:w="1580" w:type="dxa"/>
            <w:vAlign w:val="bottom"/>
          </w:tcPr>
          <w:p>
            <w:pPr>
              <w:jc w:val="center"/>
              <w:ind w:right="113"/>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26"/>
        </w:trPr>
        <w:tc>
          <w:tcPr>
            <w:tcW w:w="4720" w:type="dxa"/>
            <w:vAlign w:val="bottom"/>
          </w:tcPr>
          <w:p>
            <w:pPr>
              <w:spacing w:after="0"/>
              <w:rPr>
                <w:sz w:val="10"/>
                <w:szCs w:val="10"/>
                <w:color w:val="auto"/>
              </w:rPr>
            </w:pPr>
          </w:p>
        </w:tc>
        <w:tc>
          <w:tcPr>
            <w:tcW w:w="2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020" w:type="dxa"/>
            <w:vAlign w:val="bottom"/>
          </w:tcPr>
          <w:p>
            <w:pPr>
              <w:spacing w:after="0"/>
              <w:rPr>
                <w:sz w:val="10"/>
                <w:szCs w:val="10"/>
                <w:color w:val="auto"/>
              </w:rPr>
            </w:pPr>
          </w:p>
        </w:tc>
        <w:tc>
          <w:tcPr>
            <w:tcW w:w="1580" w:type="dxa"/>
            <w:vAlign w:val="bottom"/>
          </w:tcPr>
          <w:p>
            <w:pPr>
              <w:jc w:val="center"/>
              <w:ind w:right="113"/>
              <w:spacing w:after="0" w:line="126"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2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Lift</w:t>
            </w:r>
          </w:p>
        </w:tc>
        <w:tc>
          <w:tcPr>
            <w:tcW w:w="230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334,789</w:t>
            </w:r>
          </w:p>
        </w:tc>
        <w:tc>
          <w:tcPr>
            <w:tcW w:w="1080" w:type="dxa"/>
            <w:vAlign w:val="bottom"/>
          </w:tcPr>
          <w:p>
            <w:pPr>
              <w:jc w:val="right"/>
              <w:ind w:right="79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w w:val="89"/>
              </w:rPr>
              <w:t>285,249</w:t>
            </w:r>
          </w:p>
        </w:tc>
        <w:tc>
          <w:tcPr>
            <w:tcW w:w="158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2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74,279</w:t>
            </w:r>
          </w:p>
        </w:tc>
        <w:tc>
          <w:tcPr>
            <w:tcW w:w="10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66,216</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Dining</w:t>
            </w:r>
          </w:p>
        </w:tc>
        <w:tc>
          <w:tcPr>
            <w:tcW w:w="2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51,000</w:t>
            </w:r>
          </w:p>
        </w:tc>
        <w:tc>
          <w:tcPr>
            <w:tcW w:w="108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44,003</w:t>
            </w:r>
          </w:p>
        </w:tc>
        <w:tc>
          <w:tcPr>
            <w:tcW w:w="15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2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79,384</w:t>
            </w:r>
          </w:p>
        </w:tc>
        <w:tc>
          <w:tcPr>
            <w:tcW w:w="10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71,078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33,353</w:t>
            </w:r>
          </w:p>
        </w:tc>
        <w:tc>
          <w:tcPr>
            <w:tcW w:w="108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33,005</w:t>
            </w: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23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572,805</w:t>
            </w:r>
          </w:p>
        </w:tc>
        <w:tc>
          <w:tcPr>
            <w:tcW w:w="108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89"/>
              </w:rPr>
              <w:t>499,551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20" w:type="dxa"/>
            <w:vAlign w:val="bottom"/>
          </w:tcPr>
          <w:p>
            <w:pPr>
              <w:ind w:left="40"/>
              <w:spacing w:after="0"/>
              <w:rPr>
                <w:sz w:val="20"/>
                <w:szCs w:val="20"/>
                <w:color w:val="auto"/>
              </w:rPr>
            </w:pPr>
            <w:r>
              <w:rPr>
                <w:rFonts w:ascii="Arial" w:cs="Arial" w:eastAsia="Arial" w:hAnsi="Arial"/>
                <w:sz w:val="18"/>
                <w:szCs w:val="18"/>
                <w:color w:val="auto"/>
              </w:rPr>
              <w:t>Mountain operating expense:</w:t>
            </w:r>
          </w:p>
        </w:tc>
        <w:tc>
          <w:tcPr>
            <w:tcW w:w="2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23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115,932</w:t>
            </w:r>
          </w:p>
        </w:tc>
        <w:tc>
          <w:tcPr>
            <w:tcW w:w="108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99,926</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Retail cost of sales</w:t>
            </w:r>
          </w:p>
        </w:tc>
        <w:tc>
          <w:tcPr>
            <w:tcW w:w="2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26,123</w:t>
            </w:r>
          </w:p>
        </w:tc>
        <w:tc>
          <w:tcPr>
            <w:tcW w:w="108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23,520</w:t>
            </w:r>
          </w:p>
        </w:tc>
        <w:tc>
          <w:tcPr>
            <w:tcW w:w="15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related fees</w:t>
            </w:r>
          </w:p>
        </w:tc>
        <w:tc>
          <w:tcPr>
            <w:tcW w:w="2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36,129</w:t>
            </w:r>
          </w:p>
        </w:tc>
        <w:tc>
          <w:tcPr>
            <w:tcW w:w="10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31,624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45,753</w:t>
            </w:r>
          </w:p>
        </w:tc>
        <w:tc>
          <w:tcPr>
            <w:tcW w:w="108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37,047</w:t>
            </w:r>
          </w:p>
        </w:tc>
        <w:tc>
          <w:tcPr>
            <w:tcW w:w="15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58,031</w:t>
            </w:r>
          </w:p>
        </w:tc>
        <w:tc>
          <w:tcPr>
            <w:tcW w:w="10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52,558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4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23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281,968</w:t>
            </w:r>
          </w:p>
        </w:tc>
        <w:tc>
          <w:tcPr>
            <w:tcW w:w="1080" w:type="dxa"/>
            <w:vAlign w:val="bottom"/>
            <w:tcBorders>
              <w:top w:val="single" w:sz="8" w:color="auto"/>
            </w:tcBorders>
          </w:tcPr>
          <w:p>
            <w:pPr>
              <w:jc w:val="right"/>
              <w:ind w:right="793"/>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89"/>
              </w:rPr>
              <w:t>244,675</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67"/>
        </w:trPr>
        <w:tc>
          <w:tcPr>
            <w:tcW w:w="472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(loss), net</w:t>
            </w:r>
          </w:p>
        </w:tc>
        <w:tc>
          <w:tcPr>
            <w:tcW w:w="2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(129)</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37"/>
        </w:trPr>
        <w:tc>
          <w:tcPr>
            <w:tcW w:w="4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23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291,048</w:t>
            </w:r>
          </w:p>
        </w:tc>
        <w:tc>
          <w:tcPr>
            <w:tcW w:w="1080" w:type="dxa"/>
            <w:vAlign w:val="bottom"/>
            <w:tcBorders>
              <w:top w:val="single" w:sz="8" w:color="auto"/>
            </w:tcBorders>
          </w:tcPr>
          <w:p>
            <w:pPr>
              <w:jc w:val="right"/>
              <w:ind w:right="793"/>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89"/>
              </w:rPr>
              <w:t>254,747</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67"/>
        </w:trPr>
        <w:tc>
          <w:tcPr>
            <w:tcW w:w="472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7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2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4,689</w:t>
            </w:r>
          </w:p>
        </w:tc>
        <w:tc>
          <w:tcPr>
            <w:tcW w:w="108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4,118</w:t>
            </w:r>
          </w:p>
        </w:tc>
        <w:tc>
          <w:tcPr>
            <w:tcW w:w="15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23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71.40</w:t>
            </w:r>
          </w:p>
        </w:tc>
        <w:tc>
          <w:tcPr>
            <w:tcW w:w="10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69.27</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7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Reported EBITDA includes $3.3 million and $2.6 million of stock-based compensation expense for the three months ended April 30, 2016 and 2015, respectively.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Mountain Reported EBITDA for the three months ended April 30, 2016 increased $36.3 million, or 14.2%, compared to the three months ended April 30, 2015. Our results for the three months ended April 30, 2016 compared to the same period in the prior year reflect strong U.S. pass sales growth for the 2015/2016 ski season; a strong rebound at our Tahoe resorts; improved results at our Colorado resorts and at Park City; and strong ancillary guest spending for ski school, dining and retail/rental operations. Our Tahoe resorts saw a significant increase in skier visitation during the three months ended April 30, 2016 compared to the same period in the prior year as a result of improved weather and snow conditions compared to the same period in the prior year. Additionally, our Colorado resorts and Park City realized strong increases in skier visitation during the three months ended April 30, 2016 compared to the same period in the prior year. We believe the increase at Park City is in part due to the significant capital improvements we have made at the resort. However, the improvement in our year over year results for the quarter were negatively impacted by a modest decline in international visitation to our U.S. resorts, which we believe is due to the strong U.S. dollar, and off-season fixed operating expenses for Perisher (acquired June 30, 2015) which has its operating season from June through early October.</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Lift revenue increased $49.5 million, or 17.4%, for the three months ended April 30, 2016, compared to the same period in the prior year, consisting of $33.2 million, or 18.5%, increase in lift revenue excluding season pass revenue, and $16.3 million, or 15.4%, increase in season pass revenue. The increase in lift revenue excluding season pass revenue was primarily due to an increase in ETP excluding season pass holders of 8.2%, along with higher visitation at our Tahoe resorts and at Park City. The increase in season pass revenue was due to a combination of both an increase in pricing and units sold, and was favorably impacted by increased pass sales to Destination guests. Total ETP increased $2.13, or 3.1%, due to price increases in both our lift ticket products at our U.S. mountain resorts and season pass products, partially offset by higher average visitation by season pass holders during the three months ended April 30, 2016 compared to the same period in the prior year.</w:t>
      </w:r>
    </w:p>
    <w:p>
      <w:pPr>
        <w:sectPr>
          <w:pgSz w:w="11900" w:h="16838" w:orient="portrait"/>
          <w:cols w:equalWidth="0" w:num="1">
            <w:col w:w="11420"/>
          </w:cols>
          <w:pgMar w:left="240" w:top="800"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800" w:right="239" w:bottom="1440" w:gutter="0" w:footer="0" w:header="0"/>
          <w:type w:val="continuous"/>
        </w:sectPr>
      </w:pPr>
    </w:p>
    <w:bookmarkStart w:id="26" w:name="page27"/>
    <w:bookmarkEnd w:id="26"/>
    <w:p>
      <w:pPr>
        <w:jc w:val="both"/>
        <w:spacing w:after="0" w:line="308" w:lineRule="auto"/>
        <w:rPr>
          <w:sz w:val="20"/>
          <w:szCs w:val="20"/>
          <w:color w:val="auto"/>
        </w:rPr>
      </w:pPr>
      <w:r>
        <w:rPr>
          <w:rFonts w:ascii="Arial" w:cs="Arial" w:eastAsia="Arial" w:hAnsi="Arial"/>
          <w:sz w:val="17"/>
          <w:szCs w:val="17"/>
          <w:color w:val="auto"/>
        </w:rPr>
        <w:t>Ski school revenue increased $8.1 million, or 12.2%, for the three months ended April 30, 2016, compared to the same period in the prior year, due to increases in ski school revenue at our Colorado, Tahoe and Park City resorts, primarily as a result of overall increases in skier visitation and pricing.</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Dining revenue increased $7.0 million, or 15.9%, for the three months ended April 30, 2016, compared to the three months ended April 30, 2015, which benefited from overall increases in skier visitation at our Colorado, Tahoe and Park City resorts. In addition, the increase in dining revenue was further attributable to the opening of a new on-mountain dining venue and upgrades of existing on-mountain dining venues at Park City.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Retail/rental revenue increased $8.3 million, or 11.7%, for the three months ended April 30, 2016, compared to the same period in the prior year, resulting from both an increase in retail sales and rental revenue of $4.6 million, or 10.4%, and $3.7 million, or 13.6%, respectively. The increase in retail sales was primarily due to increase in sales volume at stores proximate to our Tahoe resorts and in the San Francisco Bay Area due to improved weather conditions and snowfall in the Tahoe region. The increase in rental revenue was primarily due to stores proximate to our Tahoe and Colorado resorts which experienced higher volumes due to overall increased skier visitation.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mainly consists of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For the three months ended April 30, 2016, other revenue increased $0.3 million, or 1.1%, compared to the three months ended April 30, 2015, primarily due to increased base area services, including parking revenue.</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expense increased $37.3 million, or 15.2%, for the three months ended April 30, 2016 compared to the three months ended April 30, 2015, including incremental operating expenses of $5.7 million from Perisher. Excluding Perisher, operating expenses increased $31.6 million, or 12.9%. Labor and labor-related benefits (excluding Perisher) increased $13.9 million, or 13.9%, due to wage adjustments, increased staffing levels to support higher volumes primarily in ski school, mountain operations and on-mountain dining and increased variable compensation. Retail cost of sales increased $2.6 million, or 11.1%, due to an increase in retail sales of $4.6 million, or 10.4%. Resort related fees increased $4.5 million, or 14.2%, due to overall increases in revenue upon which those fees are based. General and administrative expense (excluding Perisher) increased $7.8 million, or 21.1%, primarily due to higher Mountain segment component of allocated corporate costs, including increased sales and marketing expense and variable compensation. Other expense (excluding Perisher) increased $2.7 million, or 5.2%, primarily due to higher operating expenses including rent expense, food and beverage cost of sales commensurate with increased dining revenue, repairs and maintenance expense and supplies expense, partially offset by lower fuel expense.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Mountain equity investment income (loss), net, primarily includes our share of income or loss from the operations of a real estate brokerage joint venture.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Nine months ended April 30, 2016 compared to the nine months ended April 30, 2015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nine months ended April 30, 2016 and 2015 are presented by category as follows (in thousands, except ETP):</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380" w:type="dxa"/>
            <w:vAlign w:val="bottom"/>
            <w:gridSpan w:val="3"/>
          </w:tcPr>
          <w:p>
            <w:pPr>
              <w:jc w:val="right"/>
              <w:ind w:right="1031"/>
              <w:spacing w:after="0"/>
              <w:rPr>
                <w:sz w:val="20"/>
                <w:szCs w:val="20"/>
                <w:color w:val="auto"/>
              </w:rPr>
            </w:pPr>
            <w:r>
              <w:rPr>
                <w:rFonts w:ascii="Arial" w:cs="Arial" w:eastAsia="Arial" w:hAnsi="Arial"/>
                <w:sz w:val="14"/>
                <w:szCs w:val="14"/>
                <w:b w:val="1"/>
                <w:bCs w:val="1"/>
                <w:color w:val="auto"/>
              </w:rPr>
              <w:t>Nine Months Ended April 30,</w:t>
            </w:r>
          </w:p>
        </w:tc>
        <w:tc>
          <w:tcPr>
            <w:tcW w:w="166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26"/>
        </w:trPr>
        <w:tc>
          <w:tcPr>
            <w:tcW w:w="44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30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0"/>
                <w:szCs w:val="10"/>
                <w:color w:val="auto"/>
              </w:rPr>
            </w:pPr>
          </w:p>
        </w:tc>
        <w:tc>
          <w:tcPr>
            <w:tcW w:w="1580" w:type="dxa"/>
            <w:vAlign w:val="bottom"/>
            <w:vMerge w:val="restart"/>
          </w:tcPr>
          <w:p>
            <w:pPr>
              <w:jc w:val="right"/>
              <w:ind w:right="911"/>
              <w:spacing w:after="0"/>
              <w:rPr>
                <w:sz w:val="20"/>
                <w:szCs w:val="20"/>
                <w:color w:val="auto"/>
              </w:rPr>
            </w:pPr>
            <w:r>
              <w:rPr>
                <w:rFonts w:ascii="Arial" w:cs="Arial" w:eastAsia="Arial" w:hAnsi="Arial"/>
                <w:sz w:val="14"/>
                <w:szCs w:val="14"/>
                <w:b w:val="1"/>
                <w:bCs w:val="1"/>
                <w:color w:val="auto"/>
              </w:rPr>
              <w:t>2015</w:t>
            </w:r>
          </w:p>
        </w:tc>
        <w:tc>
          <w:tcPr>
            <w:tcW w:w="1660" w:type="dxa"/>
            <w:vAlign w:val="bottom"/>
          </w:tcPr>
          <w:p>
            <w:pPr>
              <w:jc w:val="center"/>
              <w:ind w:right="93"/>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Lift</w:t>
            </w:r>
          </w:p>
        </w:tc>
        <w:tc>
          <w:tcPr>
            <w:tcW w:w="19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642,627</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1"/>
              <w:spacing w:after="0"/>
              <w:rPr>
                <w:sz w:val="20"/>
                <w:szCs w:val="20"/>
                <w:color w:val="auto"/>
              </w:rPr>
            </w:pPr>
            <w:r>
              <w:rPr>
                <w:rFonts w:ascii="Arial" w:cs="Arial" w:eastAsia="Arial" w:hAnsi="Arial"/>
                <w:sz w:val="18"/>
                <w:szCs w:val="18"/>
                <w:color w:val="auto"/>
              </w:rPr>
              <w:t>524,537</w:t>
            </w:r>
          </w:p>
        </w:tc>
        <w:tc>
          <w:tcPr>
            <w:tcW w:w="1660" w:type="dxa"/>
            <w:vAlign w:val="bottom"/>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1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139,703</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123,511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Dining</w:t>
            </w:r>
          </w:p>
        </w:tc>
        <w:tc>
          <w:tcPr>
            <w:tcW w:w="19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108,093</w:t>
            </w:r>
          </w:p>
        </w:tc>
        <w:tc>
          <w:tcPr>
            <w:tcW w:w="500" w:type="dxa"/>
            <w:vAlign w:val="bottom"/>
          </w:tcPr>
          <w:p>
            <w:pPr>
              <w:spacing w:after="0"/>
              <w:rPr>
                <w:sz w:val="21"/>
                <w:szCs w:val="21"/>
                <w:color w:val="auto"/>
              </w:rPr>
            </w:pPr>
          </w:p>
        </w:tc>
        <w:tc>
          <w:tcPr>
            <w:tcW w:w="1580" w:type="dxa"/>
            <w:vAlign w:val="bottom"/>
          </w:tcPr>
          <w:p>
            <w:pPr>
              <w:jc w:val="right"/>
              <w:ind w:right="311"/>
              <w:spacing w:after="0"/>
              <w:rPr>
                <w:sz w:val="20"/>
                <w:szCs w:val="20"/>
                <w:color w:val="auto"/>
              </w:rPr>
            </w:pPr>
            <w:r>
              <w:rPr>
                <w:rFonts w:ascii="Arial" w:cs="Arial" w:eastAsia="Arial" w:hAnsi="Arial"/>
                <w:sz w:val="18"/>
                <w:szCs w:val="18"/>
                <w:color w:val="auto"/>
              </w:rPr>
              <w:t>90,661</w:t>
            </w:r>
          </w:p>
        </w:tc>
        <w:tc>
          <w:tcPr>
            <w:tcW w:w="1660" w:type="dxa"/>
            <w:vAlign w:val="bottom"/>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1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214,748</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195,563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101,439</w:t>
            </w:r>
          </w:p>
        </w:tc>
        <w:tc>
          <w:tcPr>
            <w:tcW w:w="500" w:type="dxa"/>
            <w:vAlign w:val="bottom"/>
          </w:tcPr>
          <w:p>
            <w:pPr>
              <w:spacing w:after="0"/>
              <w:rPr>
                <w:sz w:val="21"/>
                <w:szCs w:val="21"/>
                <w:color w:val="auto"/>
              </w:rPr>
            </w:pPr>
          </w:p>
        </w:tc>
        <w:tc>
          <w:tcPr>
            <w:tcW w:w="1580" w:type="dxa"/>
            <w:vAlign w:val="bottom"/>
          </w:tcPr>
          <w:p>
            <w:pPr>
              <w:jc w:val="right"/>
              <w:ind w:right="311"/>
              <w:spacing w:after="0"/>
              <w:rPr>
                <w:sz w:val="20"/>
                <w:szCs w:val="20"/>
                <w:color w:val="auto"/>
              </w:rPr>
            </w:pPr>
            <w:r>
              <w:rPr>
                <w:rFonts w:ascii="Arial" w:cs="Arial" w:eastAsia="Arial" w:hAnsi="Arial"/>
                <w:sz w:val="18"/>
                <w:szCs w:val="18"/>
                <w:color w:val="auto"/>
              </w:rPr>
              <w:t>88,696</w:t>
            </w:r>
          </w:p>
        </w:tc>
        <w:tc>
          <w:tcPr>
            <w:tcW w:w="1660" w:type="dxa"/>
            <w:vAlign w:val="bottom"/>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9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1,206,610</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1,022,968</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0"/>
        </w:trPr>
        <w:tc>
          <w:tcPr>
            <w:tcW w:w="44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tcPr>
          <w:p>
            <w:pPr>
              <w:ind w:left="40"/>
              <w:spacing w:after="0"/>
              <w:rPr>
                <w:sz w:val="20"/>
                <w:szCs w:val="20"/>
                <w:color w:val="auto"/>
              </w:rPr>
            </w:pPr>
            <w:r>
              <w:rPr>
                <w:rFonts w:ascii="Arial" w:cs="Arial" w:eastAsia="Arial" w:hAnsi="Arial"/>
                <w:sz w:val="18"/>
                <w:szCs w:val="18"/>
                <w:color w:val="auto"/>
              </w:rPr>
              <w:t>Mountain operating expense:</w:t>
            </w:r>
          </w:p>
        </w:tc>
        <w:tc>
          <w:tcPr>
            <w:tcW w:w="1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19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283,353</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245,401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Retail cost of sales</w:t>
            </w:r>
          </w:p>
        </w:tc>
        <w:tc>
          <w:tcPr>
            <w:tcW w:w="19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80,864</w:t>
            </w:r>
          </w:p>
        </w:tc>
        <w:tc>
          <w:tcPr>
            <w:tcW w:w="500" w:type="dxa"/>
            <w:vAlign w:val="bottom"/>
          </w:tcPr>
          <w:p>
            <w:pPr>
              <w:spacing w:after="0"/>
              <w:rPr>
                <w:sz w:val="21"/>
                <w:szCs w:val="21"/>
                <w:color w:val="auto"/>
              </w:rPr>
            </w:pPr>
          </w:p>
        </w:tc>
        <w:tc>
          <w:tcPr>
            <w:tcW w:w="1580" w:type="dxa"/>
            <w:vAlign w:val="bottom"/>
          </w:tcPr>
          <w:p>
            <w:pPr>
              <w:jc w:val="right"/>
              <w:ind w:right="311"/>
              <w:spacing w:after="0"/>
              <w:rPr>
                <w:sz w:val="20"/>
                <w:szCs w:val="20"/>
                <w:color w:val="auto"/>
              </w:rPr>
            </w:pPr>
            <w:r>
              <w:rPr>
                <w:rFonts w:ascii="Arial" w:cs="Arial" w:eastAsia="Arial" w:hAnsi="Arial"/>
                <w:sz w:val="18"/>
                <w:szCs w:val="18"/>
                <w:color w:val="auto"/>
              </w:rPr>
              <w:t>75,856</w:t>
            </w:r>
          </w:p>
        </w:tc>
        <w:tc>
          <w:tcPr>
            <w:tcW w:w="166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related fees</w:t>
            </w:r>
          </w:p>
        </w:tc>
        <w:tc>
          <w:tcPr>
            <w:tcW w:w="1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66,473</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57,773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9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130,901</w:t>
            </w:r>
          </w:p>
        </w:tc>
        <w:tc>
          <w:tcPr>
            <w:tcW w:w="500" w:type="dxa"/>
            <w:vAlign w:val="bottom"/>
          </w:tcPr>
          <w:p>
            <w:pPr>
              <w:spacing w:after="0"/>
              <w:rPr>
                <w:sz w:val="21"/>
                <w:szCs w:val="21"/>
                <w:color w:val="auto"/>
              </w:rPr>
            </w:pPr>
          </w:p>
        </w:tc>
        <w:tc>
          <w:tcPr>
            <w:tcW w:w="1580" w:type="dxa"/>
            <w:vAlign w:val="bottom"/>
          </w:tcPr>
          <w:p>
            <w:pPr>
              <w:jc w:val="right"/>
              <w:ind w:right="311"/>
              <w:spacing w:after="0"/>
              <w:rPr>
                <w:sz w:val="20"/>
                <w:szCs w:val="20"/>
                <w:color w:val="auto"/>
              </w:rPr>
            </w:pPr>
            <w:r>
              <w:rPr>
                <w:rFonts w:ascii="Arial" w:cs="Arial" w:eastAsia="Arial" w:hAnsi="Arial"/>
                <w:sz w:val="18"/>
                <w:szCs w:val="18"/>
                <w:color w:val="auto"/>
              </w:rPr>
              <w:t>112,613</w:t>
            </w:r>
          </w:p>
        </w:tc>
        <w:tc>
          <w:tcPr>
            <w:tcW w:w="1660" w:type="dxa"/>
            <w:vAlign w:val="bottom"/>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167,791</w:t>
            </w:r>
          </w:p>
        </w:tc>
        <w:tc>
          <w:tcPr>
            <w:tcW w:w="5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153,950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37"/>
        </w:trPr>
        <w:tc>
          <w:tcPr>
            <w:tcW w:w="4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19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729,382</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645,593</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67"/>
        </w:trPr>
        <w:tc>
          <w:tcPr>
            <w:tcW w:w="44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litigation settlement</w:t>
            </w:r>
          </w:p>
        </w:tc>
        <w:tc>
          <w:tcPr>
            <w:tcW w:w="19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16,400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Mountain equity investment income, net</w:t>
            </w:r>
          </w:p>
        </w:tc>
        <w:tc>
          <w:tcPr>
            <w:tcW w:w="19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992</w:t>
            </w:r>
          </w:p>
        </w:tc>
        <w:tc>
          <w:tcPr>
            <w:tcW w:w="500" w:type="dxa"/>
            <w:vAlign w:val="bottom"/>
          </w:tcPr>
          <w:p>
            <w:pPr>
              <w:spacing w:after="0"/>
              <w:rPr>
                <w:sz w:val="21"/>
                <w:szCs w:val="21"/>
                <w:color w:val="auto"/>
              </w:rPr>
            </w:pPr>
          </w:p>
        </w:tc>
        <w:tc>
          <w:tcPr>
            <w:tcW w:w="1580" w:type="dxa"/>
            <w:vAlign w:val="bottom"/>
          </w:tcPr>
          <w:p>
            <w:pPr>
              <w:jc w:val="right"/>
              <w:ind w:right="311"/>
              <w:spacing w:after="0"/>
              <w:rPr>
                <w:sz w:val="20"/>
                <w:szCs w:val="20"/>
                <w:color w:val="auto"/>
              </w:rPr>
            </w:pPr>
            <w:r>
              <w:rPr>
                <w:rFonts w:ascii="Arial" w:cs="Arial" w:eastAsia="Arial" w:hAnsi="Arial"/>
                <w:sz w:val="18"/>
                <w:szCs w:val="18"/>
                <w:color w:val="auto"/>
              </w:rPr>
              <w:t>396</w:t>
            </w:r>
          </w:p>
        </w:tc>
        <w:tc>
          <w:tcPr>
            <w:tcW w:w="1660" w:type="dxa"/>
            <w:vAlign w:val="bottom"/>
          </w:tcPr>
          <w:p>
            <w:pPr>
              <w:jc w:val="right"/>
              <w:spacing w:after="0"/>
              <w:rPr>
                <w:sz w:val="20"/>
                <w:szCs w:val="20"/>
                <w:color w:val="auto"/>
              </w:rPr>
            </w:pPr>
            <w:r>
              <w:rPr>
                <w:rFonts w:ascii="Arial" w:cs="Arial" w:eastAsia="Arial" w:hAnsi="Arial"/>
                <w:sz w:val="18"/>
                <w:szCs w:val="18"/>
                <w:color w:val="auto"/>
              </w:rPr>
              <w:t>150.5 %</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19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478,220</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394,171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0"/>
        </w:trPr>
        <w:tc>
          <w:tcPr>
            <w:tcW w:w="44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skier visits</w:t>
            </w:r>
          </w:p>
        </w:tc>
        <w:tc>
          <w:tcPr>
            <w:tcW w:w="1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9,705</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8,189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ETP</w:t>
            </w:r>
          </w:p>
        </w:tc>
        <w:tc>
          <w:tcPr>
            <w:tcW w:w="19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66.22</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1"/>
              <w:spacing w:after="0"/>
              <w:rPr>
                <w:sz w:val="20"/>
                <w:szCs w:val="20"/>
                <w:color w:val="auto"/>
              </w:rPr>
            </w:pPr>
            <w:r>
              <w:rPr>
                <w:rFonts w:ascii="Arial" w:cs="Arial" w:eastAsia="Arial" w:hAnsi="Arial"/>
                <w:sz w:val="18"/>
                <w:szCs w:val="18"/>
                <w:color w:val="auto"/>
              </w:rPr>
              <w:t>64.05</w:t>
            </w:r>
          </w:p>
        </w:tc>
        <w:tc>
          <w:tcPr>
            <w:tcW w:w="166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$10.0 million and $8.8 million of stock-based compensation expense for the nine months ended April 30, 2016 and 2015, respectively.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Mountain Reported EBITDA for the nine months ended April 30, 2016 increased $84.0 million, or 21.3%, compared to the nine months ended April 30, 2015. This increase is primarily due to strong U.S. pass sales growth for the 2015/2016 ski season; a strong rebound at our Tahoe resorts; improved results at our Colorado resorts and at Park City; and strong ancillary guest spending for ski school, dining and retail/rental operations. Our Tahoe resorts saw a significant increase in skier visitation during the nine months ended April 30, 2016 compared to the same period in the prior year as a result of improved weather and snow conditions compared to the same period in the prior year. Additionally, our Colorado resorts and Park City realized strong increases in skier visitation during the nine months ended April 30, 2016 compared to the same period in the prior year. We believe the increase at Park City is in part due to the significant capital improvements we have made at the resort. Mountain Reported EBITDA for the nine months ended April 30, 2016 was also positively impacted by the addition of Perisher (acquired in June 2015) which has its operating season from June through early October, increased summer activities revenue and the elimination of transaction, integration and litigation expenses incurred in the same period in the prior year related to Park City and Perisher. These favorable impacts were partially offset by a modest decline in international visitation to our U.S. resorts during the 2015/2016 ski season and the $16.4 million non-cash gain on Park City litigation settlement recognized during the nine months ended April 30, 2015.</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Lift revenue increased $118.1 million, or 22.5%, for the nine months ended April 30, 2016, compared to the same period in the prior year, which includes $20.5 million of incremental lift revenue contributed by Perisher. Excluding Perisher, lift revenue excluding season pass revenue increased $58.7 million, or 18.9%, and season pass revenue increased $38.9 million, or 18.1%. The increase in lift revenue excluding season pass revenue (excluding Perisher) was primarily due to an increase in ETP excluding season pass holders of 9.8%, along with higher visitation at our Tahoe resorts and at Park City. The increase in season pass revenue (excluding Perisher) was due to a combination of both an increase in pricing and units sold, and was favorably impacted by increased pass sales to Destination guests. Total ETP increased $2.17, or 3.4%, due primarily to price increases in both our lift ticket products at our U.S. mountain resorts and season pass products, partially offset by higher average visitation by U.S. season pass holders during the 2015/2016 ski season as compared with the 2014/2015 ski season.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86" w:lineRule="auto"/>
        <w:rPr>
          <w:sz w:val="20"/>
          <w:szCs w:val="20"/>
          <w:color w:val="auto"/>
        </w:rPr>
      </w:pPr>
      <w:r>
        <w:rPr>
          <w:rFonts w:ascii="Arial" w:cs="Arial" w:eastAsia="Arial" w:hAnsi="Arial"/>
          <w:sz w:val="17"/>
          <w:szCs w:val="17"/>
          <w:color w:val="auto"/>
        </w:rPr>
        <w:t>Ski school revenue increased $16.2 million, or 13.1%, for the nine months ended April 30, 2016, compared to the same period in the prior year, primarily due to increases in ski school revenue at our Colorado, Tahoe and Park City resorts, primarily as a result of overall increases in skier visitation and pricing, and incremental ski school revenue of $3.4 million from Perisher’s ski season operations during the three months ended October 31, 2015.</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Dining revenue increased $17.4 million, or 19.2%, for the nine months ended April 30, 2016 compared to the nine months ended April 30, 2015, and was primarily attributable to overall increases in summer and skier visitation at our U.S. mountain resorts combined with incremental dining revenue from Perisher. Additionally, dining revenue benefited from the earlier opening of terrain and on-mountain dining facilities at our Tahoe resorts compared to the prior year, and from both the opening of a new on-mountain dining venue and upgrades of existing on-mountain dining venues at Park City.</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Retail/rental revenue increased $19.2 million, or 9.8%, for the nine months ended April 30, 2016, compared to the same period in the prior year, which was primarily due to an increase in both retail sales and rental revenue of $10.8 million, or 7.8%, and $8.4 million, or 15.2%, respectively. The increase in retail sales was primarily attributable to increases in sales volume at stores proximate to our Tahoe resorts and in the San Francisco Bay Area due to improved weather conditions and snowfall in the Tahoe region. The increase in rental revenue was primarily due to stores proximate to our mountain resorts in Tahoe and Colorado which experienced higher volumes due to increased overall skier visitation, and incremental rental revenue from Perisher.</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Perisher lodging and transportation revenue. For the nine months ended April 30, 2016, other revenue increased $12.7 million, or 14.4%, compared to the nine months ended April 30, 2015, primarily attributable to incremental revenue from Perisher, increases in summer activities revenue from improved summer visitation at both our Colorado and Tahoe mountain resorts combined with the expansion of our on-mountain summer activities offerings, increases in marketing revenue driven by higher revenue from our strategic partners, and higher base area services and parking revenue due to increased visitation.</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Operating expense increased $83.8 million, or 13.0%, for the nine months ended April 30, 2016 compared to the nine months ended April 30, 2015, including incremental operating expenses from Perisher of $25.3 million. Additionally, current year operating expenses were favorably impacted by the elimination of transaction, integration and litigation expenses incurred in the same period in the prior year related to Park City and Perisher. Excluding Perisher operating expenses and transaction, integration and litigation expenses related to Park City and Perisher, operating expenses increased $63.7 million, or 9.9%. Labor and labor-related benefits (excluding Perisher) increased $27.3 million, or 11.1%, due to wage adjustments, increased staffing levels to support higher volumes primarily in ski school, mountain operations and on-mountain dining, as well as increased variable compensation. Retail cost of sales increased $5.0 million, or 6.6%, compared to an increase in retail sales of $10.8 million, or 7.8%. Resort related fees increased $8.7 million, or 15.1%, due to overall increases in revenue upon which those fees are based. General and administrative expense (excluding Perisher) increased $15.2 million, or 13.5%, primarily due to higher Mountain segment component of allocated corporate costs, including increased sales and marketing expense and variable compensation. Other expense (excluding Perisher from the current period and Park City and Perisher transaction, integration and litigation expenses from the prior period) increased $8.5 million, or 5.7%, primarily due to higher operating expenses including food and beverage cost of sales commensurate with the increase in dining revenue, rent expense, supplies expense and repairs and maintenance expense, partially offset by lower fuel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2016 compared to the three months ended April 30, 2015</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three months ended April 30, 2016 and 2015 are presented by category as follows (in thousands, except average daily rates (“ADR”) and revenue per available room (“RevPAR”)):</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gridSpan w:val="3"/>
          </w:tcPr>
          <w:p>
            <w:pPr>
              <w:jc w:val="right"/>
              <w:ind w:right="871"/>
              <w:spacing w:after="0"/>
              <w:rPr>
                <w:sz w:val="20"/>
                <w:szCs w:val="20"/>
                <w:color w:val="auto"/>
              </w:rPr>
            </w:pPr>
            <w:r>
              <w:rPr>
                <w:rFonts w:ascii="Arial" w:cs="Arial" w:eastAsia="Arial" w:hAnsi="Arial"/>
                <w:sz w:val="14"/>
                <w:szCs w:val="14"/>
                <w:b w:val="1"/>
                <w:bCs w:val="1"/>
                <w:color w:val="auto"/>
              </w:rPr>
              <w:t>Three Months Ended April 30,</w:t>
            </w:r>
          </w:p>
        </w:tc>
        <w:tc>
          <w:tcPr>
            <w:tcW w:w="166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26"/>
        </w:trPr>
        <w:tc>
          <w:tcPr>
            <w:tcW w:w="5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0"/>
                <w:szCs w:val="10"/>
                <w:color w:val="auto"/>
              </w:rPr>
            </w:pPr>
          </w:p>
        </w:tc>
        <w:tc>
          <w:tcPr>
            <w:tcW w:w="1500" w:type="dxa"/>
            <w:vAlign w:val="bottom"/>
            <w:vMerge w:val="restart"/>
          </w:tcPr>
          <w:p>
            <w:pPr>
              <w:jc w:val="right"/>
              <w:ind w:right="851"/>
              <w:spacing w:after="0"/>
              <w:rPr>
                <w:sz w:val="20"/>
                <w:szCs w:val="20"/>
                <w:color w:val="auto"/>
              </w:rPr>
            </w:pPr>
            <w:r>
              <w:rPr>
                <w:rFonts w:ascii="Arial" w:cs="Arial" w:eastAsia="Arial" w:hAnsi="Arial"/>
                <w:sz w:val="14"/>
                <w:szCs w:val="14"/>
                <w:b w:val="1"/>
                <w:bCs w:val="1"/>
                <w:color w:val="auto"/>
              </w:rPr>
              <w:t>2015</w:t>
            </w:r>
          </w:p>
        </w:tc>
        <w:tc>
          <w:tcPr>
            <w:tcW w:w="1660" w:type="dxa"/>
            <w:vAlign w:val="bottom"/>
          </w:tcPr>
          <w:p>
            <w:pPr>
              <w:jc w:val="center"/>
              <w:ind w:right="92"/>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Owned hotel rooms</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13,813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13,097</w:t>
            </w:r>
          </w:p>
        </w:tc>
        <w:tc>
          <w:tcPr>
            <w:tcW w:w="166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Managed condominium rooms</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23,110</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21,904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Dining</w:t>
            </w:r>
          </w:p>
        </w:tc>
        <w:tc>
          <w:tcPr>
            <w:tcW w:w="1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10,167</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9,778</w:t>
            </w:r>
          </w:p>
        </w:tc>
        <w:tc>
          <w:tcPr>
            <w:tcW w:w="166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8,827</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9,690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13,634</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10,190</w:t>
            </w:r>
          </w:p>
        </w:tc>
        <w:tc>
          <w:tcPr>
            <w:tcW w:w="1660" w:type="dxa"/>
            <w:vAlign w:val="bottom"/>
          </w:tcPr>
          <w:p>
            <w:pPr>
              <w:jc w:val="right"/>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69,551</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64,659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Payroll cost reimbursements</w:t>
            </w:r>
          </w:p>
        </w:tc>
        <w:tc>
          <w:tcPr>
            <w:tcW w:w="1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3,382</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2,664</w:t>
            </w:r>
          </w:p>
        </w:tc>
        <w:tc>
          <w:tcPr>
            <w:tcW w:w="1660" w:type="dxa"/>
            <w:vAlign w:val="bottom"/>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72,933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67,323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0" w:type="dxa"/>
            <w:vAlign w:val="bottom"/>
          </w:tcPr>
          <w:p>
            <w:pPr>
              <w:ind w:left="40"/>
              <w:spacing w:after="0"/>
              <w:rPr>
                <w:sz w:val="20"/>
                <w:szCs w:val="20"/>
                <w:color w:val="auto"/>
              </w:rPr>
            </w:pPr>
            <w:r>
              <w:rPr>
                <w:rFonts w:ascii="Arial" w:cs="Arial" w:eastAsia="Arial" w:hAnsi="Arial"/>
                <w:sz w:val="18"/>
                <w:szCs w:val="18"/>
                <w:color w:val="auto"/>
              </w:rPr>
              <w:t>Lodging operating expense:</w:t>
            </w: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26,808</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26,465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9,657</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8,736</w:t>
            </w:r>
          </w:p>
        </w:tc>
        <w:tc>
          <w:tcPr>
            <w:tcW w:w="1660" w:type="dxa"/>
            <w:vAlign w:val="bottom"/>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17,575</w:t>
            </w: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16,861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7"/>
        </w:trPr>
        <w:tc>
          <w:tcPr>
            <w:tcW w:w="5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54,040</w:t>
            </w:r>
          </w:p>
        </w:tc>
        <w:tc>
          <w:tcPr>
            <w:tcW w:w="4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52,062</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Reimbursed payroll costs</w:t>
            </w:r>
          </w:p>
        </w:tc>
        <w:tc>
          <w:tcPr>
            <w:tcW w:w="1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3,382</w:t>
            </w: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2,664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37"/>
        </w:trPr>
        <w:tc>
          <w:tcPr>
            <w:tcW w:w="5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operating expense</w:t>
            </w:r>
          </w:p>
        </w:tc>
        <w:tc>
          <w:tcPr>
            <w:tcW w:w="11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57,422</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54,726</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67"/>
        </w:trPr>
        <w:tc>
          <w:tcPr>
            <w:tcW w:w="5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Reported EBITDA</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15,511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12,597</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statistics:</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ADR</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263.40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256.34</w:t>
            </w:r>
          </w:p>
        </w:tc>
        <w:tc>
          <w:tcPr>
            <w:tcW w:w="166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188.86</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179.55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Managed condominium statistics:</w:t>
            </w: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407.96</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395.30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RevPAR</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185.19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171.64</w:t>
            </w:r>
          </w:p>
        </w:tc>
        <w:tc>
          <w:tcPr>
            <w:tcW w:w="166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ADR</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359.55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348.59</w:t>
            </w:r>
          </w:p>
        </w:tc>
        <w:tc>
          <w:tcPr>
            <w:tcW w:w="166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186.10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173.53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Lodging segment ADR and RevPAR statistics presented above for the three months ended April 30, 2015 have been adjusted to exclude resort fee revenue from the calculations for ADR and RevPAR, as stipulated by the </w:t>
      </w:r>
      <w:r>
        <w:rPr>
          <w:rFonts w:ascii="Arial" w:cs="Arial" w:eastAsia="Arial" w:hAnsi="Arial"/>
          <w:sz w:val="16"/>
          <w:szCs w:val="16"/>
          <w:i w:val="1"/>
          <w:iCs w:val="1"/>
          <w:color w:val="auto"/>
        </w:rPr>
        <w:t>Uniform System of Accounts for the Lodging Industry, Eleventh Revised Edition.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Reported EBITDA includes $0.8 million and $0.6 million of stock-based compensation expense for the three months ended April 30, 2016 and 2015, respectively.</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Lodging net revenue (excluding payroll cost reimbursements) for the three months ended April 30, 2016 increased $4.9 million, or 7.6%, as compared to the same period in the prior year. Included in net revenue for the three months ended April 30, 2016 was the recognition of a $3.5 million termination fee (included in other revenue) associated with the termination of the management agreement at Half Moon in Montego Bay, Jamaica. Excluding this termination fee, Lodging net revenue (excluding payroll cost reimbursements) increased $1.4 million, or 2.2%, which was primarily attributable to an increase in transient guest visitation at our lodging properties and managed condominium rooms at or proximate to our mountain resorts due to increased skier visitation (as discussed in the Mountain segment).</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owned hotel rooms increased $0.7 million, or 5.5%, for the three months ended April 30, 2016 compared to the three months ended April 30, 2015, primarily due to a 5.2% increase in RevPAR primarily resulting from an increase in occupancy.</w:t>
      </w:r>
    </w:p>
    <w:p>
      <w:pPr>
        <w:sectPr>
          <w:pgSz w:w="11900" w:h="16838" w:orient="portrait"/>
          <w:cols w:equalWidth="0" w:num="1">
            <w:col w:w="11420"/>
          </w:cols>
          <w:pgMar w:left="240" w:top="584"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84" w:right="239" w:bottom="1440" w:gutter="0" w:footer="0" w:header="0"/>
          <w:type w:val="continuous"/>
        </w:sectPr>
      </w:pPr>
    </w:p>
    <w:bookmarkStart w:id="30" w:name="page31"/>
    <w:bookmarkEnd w:id="30"/>
    <w:p>
      <w:pPr>
        <w:jc w:val="both"/>
        <w:spacing w:after="0" w:line="302" w:lineRule="auto"/>
        <w:rPr>
          <w:sz w:val="20"/>
          <w:szCs w:val="20"/>
          <w:color w:val="auto"/>
        </w:rPr>
      </w:pPr>
      <w:r>
        <w:rPr>
          <w:rFonts w:ascii="Arial" w:cs="Arial" w:eastAsia="Arial" w:hAnsi="Arial"/>
          <w:sz w:val="16"/>
          <w:szCs w:val="16"/>
          <w:color w:val="auto"/>
        </w:rPr>
        <w:t>Occupancy for owned lodging properties was favorably impacted by increased skier visitation at our Colorado mountain resorts. Revenue from managed condominium rooms increased $1.2 million, or 5.5%, for the three months ended April 30, 2016 compared to the same period in the prior year, which was primarily attributable to increased transient guest visitation at our managed condominium rooms in Colorado, Tahoe and Park City, as well as increased group business at our managed condominium rooms in Park City, which contributed to a 7.9% increase in managed condominium RevPAR.</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Dining revenue for the three months ended April 30, 2016 increased $0.4 million, or 4.0%, as compared to the three months ended April 30, 2015, primarily generated at our Colorado and Park City lodging properties as a result of increased skier visitation. Transportation revenue decreased $0.9 million, or 8.9%, for the three months ended April 30, 2016 compared to the same period in the prior year, primarily due to decreased passenger volume. Other revenue increased $3.5 million, or 33.8%, for the three months ended April 30, 2016 compared to the same period in the prior year due to recognition of a termination fee associated with the termination of the management agreement at Half Moon in Montego Bay, Jamaica.</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 (excluding reimbursed payroll costs) increased $2.0 million, or 3.8%, for the three months ended April 30, 2016 compared to the three months ended April 30, 2015. Labor and labor-related benefits increased $0.3 million, or 1.3%, resulting from wage increases and higher staffing levels associated with increased overall occupancy. General and administrative expense increased $0.9 million, or 10.5%, due to higher allocated corporate costs, including increased variable compensation. Other expense increased $0.7 million, or 4.2%, primarily due to higher operating expenses (such as supplies expense and utilities expense) and higher advertising expenses.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Nine months ended April 30, 2016 compared to the nine months ended April 30, 2015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Lodging segment operating results for the nine months ended April 30, 2016 and 2015 are presented by category as follows (in thousands, except ADR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gridSpan w:val="3"/>
          </w:tcPr>
          <w:p>
            <w:pPr>
              <w:jc w:val="right"/>
              <w:ind w:right="911"/>
              <w:spacing w:after="0"/>
              <w:rPr>
                <w:sz w:val="20"/>
                <w:szCs w:val="20"/>
                <w:color w:val="auto"/>
              </w:rPr>
            </w:pPr>
            <w:r>
              <w:rPr>
                <w:rFonts w:ascii="Arial" w:cs="Arial" w:eastAsia="Arial" w:hAnsi="Arial"/>
                <w:sz w:val="14"/>
                <w:szCs w:val="14"/>
                <w:b w:val="1"/>
                <w:bCs w:val="1"/>
                <w:color w:val="auto"/>
              </w:rPr>
              <w:t>Nine Months Ended April 30,</w:t>
            </w:r>
          </w:p>
        </w:tc>
        <w:tc>
          <w:tcPr>
            <w:tcW w:w="166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26"/>
        </w:trPr>
        <w:tc>
          <w:tcPr>
            <w:tcW w:w="5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0"/>
                <w:szCs w:val="10"/>
                <w:color w:val="auto"/>
              </w:rPr>
            </w:pPr>
          </w:p>
        </w:tc>
        <w:tc>
          <w:tcPr>
            <w:tcW w:w="1500" w:type="dxa"/>
            <w:vAlign w:val="bottom"/>
            <w:vMerge w:val="restart"/>
          </w:tcPr>
          <w:p>
            <w:pPr>
              <w:jc w:val="right"/>
              <w:ind w:right="851"/>
              <w:spacing w:after="0"/>
              <w:rPr>
                <w:sz w:val="20"/>
                <w:szCs w:val="20"/>
                <w:color w:val="auto"/>
              </w:rPr>
            </w:pPr>
            <w:r>
              <w:rPr>
                <w:rFonts w:ascii="Arial" w:cs="Arial" w:eastAsia="Arial" w:hAnsi="Arial"/>
                <w:sz w:val="14"/>
                <w:szCs w:val="14"/>
                <w:b w:val="1"/>
                <w:bCs w:val="1"/>
                <w:color w:val="auto"/>
              </w:rPr>
              <w:t>2015</w:t>
            </w:r>
          </w:p>
        </w:tc>
        <w:tc>
          <w:tcPr>
            <w:tcW w:w="1660" w:type="dxa"/>
            <w:vAlign w:val="bottom"/>
          </w:tcPr>
          <w:p>
            <w:pPr>
              <w:jc w:val="center"/>
              <w:ind w:right="92"/>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Owned hotel rooms</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43,164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39,348</w:t>
            </w:r>
          </w:p>
        </w:tc>
        <w:tc>
          <w:tcPr>
            <w:tcW w:w="1660" w:type="dxa"/>
            <w:vAlign w:val="bottom"/>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Managed condominium rooms</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52,420</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49,663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Dining</w:t>
            </w:r>
          </w:p>
        </w:tc>
        <w:tc>
          <w:tcPr>
            <w:tcW w:w="1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34,049</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31,538</w:t>
            </w:r>
          </w:p>
        </w:tc>
        <w:tc>
          <w:tcPr>
            <w:tcW w:w="166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19,440</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20,504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Golf</w:t>
            </w:r>
          </w:p>
        </w:tc>
        <w:tc>
          <w:tcPr>
            <w:tcW w:w="1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8,722</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7,805</w:t>
            </w:r>
          </w:p>
        </w:tc>
        <w:tc>
          <w:tcPr>
            <w:tcW w:w="1660" w:type="dxa"/>
            <w:vAlign w:val="bottom"/>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33,009</w:t>
            </w: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28,811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37"/>
        </w:trPr>
        <w:tc>
          <w:tcPr>
            <w:tcW w:w="5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190,804</w:t>
            </w:r>
          </w:p>
        </w:tc>
        <w:tc>
          <w:tcPr>
            <w:tcW w:w="4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177,669</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Payroll cost reimbursements</w:t>
            </w:r>
          </w:p>
        </w:tc>
        <w:tc>
          <w:tcPr>
            <w:tcW w:w="1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9,222</w:t>
            </w: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7,511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37"/>
        </w:trPr>
        <w:tc>
          <w:tcPr>
            <w:tcW w:w="5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11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200,026</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185,180</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67"/>
        </w:trPr>
        <w:tc>
          <w:tcPr>
            <w:tcW w:w="5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1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Labor and labor-related benefits</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82,529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79,783</w:t>
            </w:r>
          </w:p>
        </w:tc>
        <w:tc>
          <w:tcPr>
            <w:tcW w:w="166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27,036</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25,102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57,383</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54,011</w:t>
            </w:r>
          </w:p>
        </w:tc>
        <w:tc>
          <w:tcPr>
            <w:tcW w:w="166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166,948</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158,896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Reimbursed payroll costs</w:t>
            </w:r>
          </w:p>
        </w:tc>
        <w:tc>
          <w:tcPr>
            <w:tcW w:w="1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9,222</w:t>
            </w:r>
          </w:p>
        </w:tc>
        <w:tc>
          <w:tcPr>
            <w:tcW w:w="480" w:type="dxa"/>
            <w:vAlign w:val="bottom"/>
          </w:tcPr>
          <w:p>
            <w:pPr>
              <w:spacing w:after="0"/>
              <w:rPr>
                <w:sz w:val="21"/>
                <w:szCs w:val="21"/>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7,511</w:t>
            </w:r>
          </w:p>
        </w:tc>
        <w:tc>
          <w:tcPr>
            <w:tcW w:w="1660" w:type="dxa"/>
            <w:vAlign w:val="bottom"/>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176,170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166,407</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23,856</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18,773</w:t>
            </w:r>
          </w:p>
        </w:tc>
        <w:tc>
          <w:tcPr>
            <w:tcW w:w="1660" w:type="dxa"/>
            <w:vAlign w:val="bottom"/>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67"/>
        </w:trPr>
        <w:tc>
          <w:tcPr>
            <w:tcW w:w="5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Owned hotel statistics:</w:t>
            </w: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232.50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224.50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RevPAR</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156.09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143.37</w:t>
            </w:r>
          </w:p>
        </w:tc>
        <w:tc>
          <w:tcPr>
            <w:tcW w:w="166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condominium statistics:</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ADR</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353.54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348.68</w:t>
            </w:r>
          </w:p>
        </w:tc>
        <w:tc>
          <w:tcPr>
            <w:tcW w:w="166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128.79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118.45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303.40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297.27</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RevPAR</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136.37</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1"/>
              <w:spacing w:after="0"/>
              <w:rPr>
                <w:sz w:val="20"/>
                <w:szCs w:val="20"/>
                <w:color w:val="auto"/>
              </w:rPr>
            </w:pPr>
            <w:r>
              <w:rPr>
                <w:rFonts w:ascii="Arial" w:cs="Arial" w:eastAsia="Arial" w:hAnsi="Arial"/>
                <w:sz w:val="18"/>
                <w:szCs w:val="18"/>
                <w:color w:val="auto"/>
              </w:rPr>
              <w:t>125.26</w:t>
            </w:r>
          </w:p>
        </w:tc>
        <w:tc>
          <w:tcPr>
            <w:tcW w:w="166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Lodging segment ADR and RevPAR statistics presented above for the nine months ended April 30, 2015 have been adjusted to exclude resort fee revenue from the calculations for ADR and RevPAR, as stipulated by the </w:t>
      </w:r>
      <w:r>
        <w:rPr>
          <w:rFonts w:ascii="Arial" w:cs="Arial" w:eastAsia="Arial" w:hAnsi="Arial"/>
          <w:sz w:val="16"/>
          <w:szCs w:val="16"/>
          <w:i w:val="1"/>
          <w:iCs w:val="1"/>
          <w:color w:val="auto"/>
        </w:rPr>
        <w:t>Uniform System of Accounts for the Lodging Industry, Eleventh Revised Edition.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Reported EBITDA includes $2.3 million and $1.9 million of stock-based compensation expense for the nine months ended April 30, 2016 and 2015, respectively.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Total Lodging net revenue (excluding payroll cost reimbursements) for the nine months ended April 30, 2016 increased $13.1 million, or 7.4%, as compared to the nine months ended April 30, 2015. Included in net revenue for the nine months ended April 30, 2016 was the recognition of a $3.5 million termination fee (included in other revenue) associated with the termination of the management agreement at Half Moon in Montego Bay, Jamaica. Excluding this termination fee, Lodging net revenue (excluding payroll cost reimbursements) increased $9.7 million, or 5.4%, which was primarily attributable to an increase in transient guest visitation to our lodging properties and managed condominium rooms at or proximate to our mountain resorts due to increased skier visitation, as well as an increase in transient business from improved summer visitation at GTLC and our Colorado mountain resort properties.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owned hotel rooms increased $3.8 million, or 9.7%, for the nine months ended April 30, 2016, as compared to the nine months ended April 30, 2015. Owned room revenue was positively impacted from an increase in transient guest visitation</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84" w:right="239" w:bottom="1440" w:gutter="0" w:footer="0" w:header="0"/>
          <w:type w:val="continuous"/>
        </w:sectPr>
      </w:pPr>
    </w:p>
    <w:bookmarkStart w:id="32" w:name="page33"/>
    <w:bookmarkEnd w:id="32"/>
    <w:p>
      <w:pPr>
        <w:jc w:val="both"/>
        <w:spacing w:after="0" w:line="273" w:lineRule="auto"/>
        <w:rPr>
          <w:sz w:val="20"/>
          <w:szCs w:val="20"/>
          <w:color w:val="auto"/>
        </w:rPr>
      </w:pPr>
      <w:r>
        <w:rPr>
          <w:rFonts w:ascii="Arial" w:cs="Arial" w:eastAsia="Arial" w:hAnsi="Arial"/>
          <w:sz w:val="17"/>
          <w:szCs w:val="17"/>
          <w:color w:val="auto"/>
        </w:rPr>
        <w:t>attributable to increased skier visits at our Colorado mountain resorts and improved summer visitation, generating a $2.2 million increase in revenue and 8.9% increase in RevPAR from owned hotel rooms; and an increase in transient guest visitation and ADR at GTLC for the three months ended October 31, 2015 compared to the same period in the prior year, resulting in a $1.7 million increase in revenue from owned hotel rooms. Revenue from managed condominium rooms increased $2.8 million, or 5.6%, for the nine months ended April 30, 2016 compared to the same period in the prior year, primarily due to increased transient guest visitation at our managed condominium rooms at or proximate to our mountain resorts, as well as increased group business at our managed condominium rooms in Park City which contributed to an 8.7% increase in managed condominium RevPAR.</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Dining revenue for the nine months ended April 30, 2016 increased $2.5 million, or 8.0%, as compared to the nine months ended April 30, 2015, primarily due to increased dining revenue generated at our Colorado lodging properties as a result of increased summer visitation and skier visits, increased dining revenue at Park City lodging properties as a result of increased group business, as well as increased revenue at GTLC during the three months ended October 31, 2015. Transportation revenue for the nine months ended April 30, 2016 decreased $1.1 million, or 5.2%, as compared to the same period in the prior year, primarily due to decreased passenger volume. Golf revenue for the nine months ended April 30, 2016 increased $0.9 million, or 11.7%, as compared to the nine months ended April 30, 2015, primarily due to incremental revenue from reimbursable expenses for managing the Canyons golf course beginning in the summer of 2015. Excluding the $3.5 million termination fee, other revenue increased $0.7 million, or 2.5%, for the nine months ended April 30, 2016, as compared to the same period in the prior year, primarily due to an increase in ancillary revenue from improved visitation at GTLC during the three months ended October 31, 2015, an increase in revenue from conference services provided to our group business at our Colorado and Park City lodging properties, and increased revenue from our central reservations booking services.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 (excluding reimbursed payroll costs) increased $8.1 million, or 5.1%, for the nine months ended April 30, 2016, compared to the nine months ended April 30, 2015. Labor and labor-related benefits increased $2.8 million, or 3.4%, resulting from wage increases and higher staffing levels associated with increased overall occupancy. General and administrative expense increased $1.9 million, or 7.7%, due to higher allocated corporate costs including increased variable compensation. Other expense increased $3.4 million, or 6.2%, primarily due to higher operating expenses (such as food and beverage cost of sales, credit card fees, and supplies expense) and higher advertising expenses.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2016 compared to the three months ended April 30, 2015</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April 30, 2016 and 2015 are presented by category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380" w:type="dxa"/>
            <w:vAlign w:val="bottom"/>
          </w:tcPr>
          <w:p>
            <w:pPr>
              <w:spacing w:after="0"/>
              <w:rPr>
                <w:sz w:val="14"/>
                <w:szCs w:val="14"/>
                <w:color w:val="auto"/>
              </w:rPr>
            </w:pPr>
          </w:p>
        </w:tc>
        <w:tc>
          <w:tcPr>
            <w:tcW w:w="16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0" w:type="dxa"/>
            <w:vAlign w:val="bottom"/>
            <w:gridSpan w:val="2"/>
          </w:tcPr>
          <w:p>
            <w:pPr>
              <w:jc w:val="right"/>
              <w:ind w:right="310"/>
              <w:spacing w:after="0" w:line="145" w:lineRule="exact"/>
              <w:rPr>
                <w:sz w:val="20"/>
                <w:szCs w:val="20"/>
                <w:color w:val="auto"/>
              </w:rPr>
            </w:pPr>
            <w:r>
              <w:rPr>
                <w:rFonts w:ascii="Arial" w:cs="Arial" w:eastAsia="Arial" w:hAnsi="Arial"/>
                <w:sz w:val="14"/>
                <w:szCs w:val="14"/>
                <w:b w:val="1"/>
                <w:bCs w:val="1"/>
                <w:color w:val="auto"/>
              </w:rPr>
              <w:t>April 30,</w:t>
            </w:r>
          </w:p>
        </w:tc>
        <w:tc>
          <w:tcPr>
            <w:tcW w:w="13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740" w:type="dxa"/>
            <w:vAlign w:val="bottom"/>
          </w:tcPr>
          <w:p>
            <w:pPr>
              <w:spacing w:after="0"/>
              <w:rPr>
                <w:sz w:val="10"/>
                <w:szCs w:val="10"/>
                <w:color w:val="auto"/>
              </w:rPr>
            </w:pPr>
          </w:p>
        </w:tc>
        <w:tc>
          <w:tcPr>
            <w:tcW w:w="2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vMerge w:val="restart"/>
          </w:tcPr>
          <w:p>
            <w:pPr>
              <w:jc w:val="right"/>
              <w:ind w:right="953"/>
              <w:spacing w:after="0"/>
              <w:rPr>
                <w:sz w:val="20"/>
                <w:szCs w:val="20"/>
                <w:color w:val="auto"/>
              </w:rPr>
            </w:pPr>
            <w:r>
              <w:rPr>
                <w:rFonts w:ascii="Arial" w:cs="Arial" w:eastAsia="Arial" w:hAnsi="Arial"/>
                <w:sz w:val="14"/>
                <w:szCs w:val="14"/>
                <w:b w:val="1"/>
                <w:bCs w:val="1"/>
                <w:color w:val="auto"/>
              </w:rPr>
              <w:t>2015</w:t>
            </w:r>
          </w:p>
        </w:tc>
        <w:tc>
          <w:tcPr>
            <w:tcW w:w="1620" w:type="dxa"/>
            <w:vAlign w:val="bottom"/>
          </w:tcPr>
          <w:p>
            <w:pPr>
              <w:jc w:val="center"/>
              <w:ind w:right="136"/>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228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1,734</w:t>
            </w:r>
          </w:p>
        </w:tc>
        <w:tc>
          <w:tcPr>
            <w:tcW w:w="7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12,469</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2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(including sales commission)</w:t>
            </w:r>
          </w:p>
        </w:tc>
        <w:tc>
          <w:tcPr>
            <w:tcW w:w="2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1,161</w:t>
            </w:r>
          </w:p>
        </w:tc>
        <w:tc>
          <w:tcPr>
            <w:tcW w:w="7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10,924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1,924</w:t>
            </w:r>
          </w:p>
        </w:tc>
        <w:tc>
          <w:tcPr>
            <w:tcW w:w="720" w:type="dxa"/>
            <w:vAlign w:val="bottom"/>
          </w:tcPr>
          <w:p>
            <w:pPr>
              <w:spacing w:after="0"/>
              <w:rPr>
                <w:sz w:val="21"/>
                <w:szCs w:val="21"/>
                <w:color w:val="auto"/>
              </w:rPr>
            </w:pPr>
          </w:p>
        </w:tc>
        <w:tc>
          <w:tcPr>
            <w:tcW w:w="1380" w:type="dxa"/>
            <w:vAlign w:val="bottom"/>
          </w:tcPr>
          <w:p>
            <w:pPr>
              <w:jc w:val="right"/>
              <w:ind w:right="353"/>
              <w:spacing w:after="0"/>
              <w:rPr>
                <w:sz w:val="20"/>
                <w:szCs w:val="20"/>
                <w:color w:val="auto"/>
              </w:rPr>
            </w:pPr>
            <w:r>
              <w:rPr>
                <w:rFonts w:ascii="Arial" w:cs="Arial" w:eastAsia="Arial" w:hAnsi="Arial"/>
                <w:sz w:val="18"/>
                <w:szCs w:val="18"/>
                <w:color w:val="auto"/>
              </w:rPr>
              <w:t>3,104</w:t>
            </w:r>
          </w:p>
        </w:tc>
        <w:tc>
          <w:tcPr>
            <w:tcW w:w="162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2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3,085</w:t>
            </w:r>
          </w:p>
        </w:tc>
        <w:tc>
          <w:tcPr>
            <w:tcW w:w="7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14,028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Gain on sale of real property</w:t>
            </w:r>
          </w:p>
        </w:tc>
        <w:tc>
          <w:tcPr>
            <w:tcW w:w="2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19</w:t>
            </w:r>
          </w:p>
        </w:tc>
        <w:tc>
          <w:tcPr>
            <w:tcW w:w="7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53"/>
              <w:spacing w:after="0"/>
              <w:rPr>
                <w:sz w:val="20"/>
                <w:szCs w:val="20"/>
                <w:color w:val="auto"/>
              </w:rPr>
            </w:pPr>
            <w:r>
              <w:rPr>
                <w:rFonts w:ascii="Arial" w:cs="Arial" w:eastAsia="Arial" w:hAnsi="Arial"/>
                <w:sz w:val="18"/>
                <w:szCs w:val="18"/>
                <w:color w:val="auto"/>
              </w:rPr>
              <w:t>151</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Reported EBITDA</w:t>
            </w:r>
          </w:p>
        </w:tc>
        <w:tc>
          <w:tcPr>
            <w:tcW w:w="228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7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(1,408)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Reported EBITDA includes $0.2 million and $0.3 million of stock-based compensation expense for the three months ended April 30, 2016 and 2015, respectively.</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and Real Estate Reported EBITDA.</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Three months ended April 30, 2016</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Real Estate segment net revenue for the three months ended April 30, 2016 included the closing of two condominium units at Crystal Peak Lodge in Breckenridge ($1.5 million of revenue with an average selling price of $0.8 million and an average price per square foot of $725). Real Estate net revenue also included $0.1 million of rental revenue from placing unsold units into our rental program.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 for the three months ended April 30, 2016 included cost of sales of $1.1 million resulting from the closing of two condominium units at Crystal Peak Lodge (average cost per square foot of $508). Additionally, sales commissions of approximately $0.1 million were incurred commensurate with revenue recognized. Other operating expense of $1.9 million (including $0.2 million of stock-based compensation expense) was primarily comprised of general and administrative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2015</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Real Estate segment net revenue for the three months ended April 30, 2015 included the closing of three condominium units at One Ski Hill Place ($3.4 million of revenue with an average selling price of $1.1 million and an average price per square foot of $1,114). The average price per square foot of this project is driven by its premier location and the comprehensive and exclusive amenities related to this project. Real Estate net revenue also included $8.5 million of revenue from the sale of a development land parcel in Vail and $0.2 million of rental revenue from placing unsold units into our rental program.</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 for the three months ended April 30, 2015 included cost of sales of $10.3 million resulting from the closing of three condominium units at One Ski Hill Place (average cost per square foot of $912) and the sale of a development land parcel in Vail. The cost per square foot for the One Ski Hill Place project reflects the high-end features and amenities and high construction costs associated with mountain resort development. Additionally, sales commissions of approximately $0.5 million were incurred commensurate with revenue recognized. Other operating expense of $3.1 million (including $0.3 million of stock-based compensation expense) was primarily comprised of general and administrative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2016 compared to the nine months ended April 30,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Real Estate segment operating results for the nine months ended April 30, 2016 and 2015 are presented by category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Nine Months Ended</w:t>
            </w:r>
          </w:p>
        </w:tc>
        <w:tc>
          <w:tcPr>
            <w:tcW w:w="1400" w:type="dxa"/>
            <w:vAlign w:val="bottom"/>
          </w:tcPr>
          <w:p>
            <w:pPr>
              <w:spacing w:after="0"/>
              <w:rPr>
                <w:sz w:val="14"/>
                <w:szCs w:val="14"/>
                <w:color w:val="auto"/>
              </w:rPr>
            </w:pPr>
          </w:p>
        </w:tc>
        <w:tc>
          <w:tcPr>
            <w:tcW w:w="16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80" w:type="dxa"/>
            <w:vAlign w:val="bottom"/>
            <w:gridSpan w:val="2"/>
          </w:tcPr>
          <w:p>
            <w:pPr>
              <w:jc w:val="right"/>
              <w:ind w:right="290"/>
              <w:spacing w:after="0" w:line="145" w:lineRule="exact"/>
              <w:rPr>
                <w:sz w:val="20"/>
                <w:szCs w:val="20"/>
                <w:color w:val="auto"/>
              </w:rPr>
            </w:pPr>
            <w:r>
              <w:rPr>
                <w:rFonts w:ascii="Arial" w:cs="Arial" w:eastAsia="Arial" w:hAnsi="Arial"/>
                <w:sz w:val="14"/>
                <w:szCs w:val="14"/>
                <w:b w:val="1"/>
                <w:bCs w:val="1"/>
                <w:color w:val="auto"/>
              </w:rPr>
              <w:t>April 30,</w:t>
            </w:r>
          </w:p>
        </w:tc>
        <w:tc>
          <w:tcPr>
            <w:tcW w:w="14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740" w:type="dxa"/>
            <w:vAlign w:val="bottom"/>
          </w:tcPr>
          <w:p>
            <w:pPr>
              <w:spacing w:after="0"/>
              <w:rPr>
                <w:sz w:val="10"/>
                <w:szCs w:val="10"/>
                <w:color w:val="auto"/>
              </w:rPr>
            </w:pPr>
          </w:p>
        </w:tc>
        <w:tc>
          <w:tcPr>
            <w:tcW w:w="2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0" w:type="dxa"/>
            <w:vAlign w:val="bottom"/>
            <w:vMerge w:val="restart"/>
          </w:tcPr>
          <w:p>
            <w:pPr>
              <w:jc w:val="right"/>
              <w:ind w:right="953"/>
              <w:spacing w:after="0"/>
              <w:rPr>
                <w:sz w:val="20"/>
                <w:szCs w:val="20"/>
                <w:color w:val="auto"/>
              </w:rPr>
            </w:pPr>
            <w:r>
              <w:rPr>
                <w:rFonts w:ascii="Arial" w:cs="Arial" w:eastAsia="Arial" w:hAnsi="Arial"/>
                <w:sz w:val="14"/>
                <w:szCs w:val="14"/>
                <w:b w:val="1"/>
                <w:bCs w:val="1"/>
                <w:color w:val="auto"/>
              </w:rPr>
              <w:t>2015</w:t>
            </w:r>
          </w:p>
        </w:tc>
        <w:tc>
          <w:tcPr>
            <w:tcW w:w="1620" w:type="dxa"/>
            <w:vAlign w:val="bottom"/>
          </w:tcPr>
          <w:p>
            <w:pPr>
              <w:jc w:val="center"/>
              <w:ind w:right="136"/>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228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4"/>
              </w:rPr>
              <w:t>14,766</w:t>
            </w:r>
          </w:p>
        </w:tc>
        <w:tc>
          <w:tcPr>
            <w:tcW w:w="7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29,694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2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(including sales commission)</w:t>
            </w:r>
          </w:p>
        </w:tc>
        <w:tc>
          <w:tcPr>
            <w:tcW w:w="2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4"/>
              </w:rPr>
              <w:t>11,712</w:t>
            </w:r>
          </w:p>
        </w:tc>
        <w:tc>
          <w:tcPr>
            <w:tcW w:w="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24,804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5,331</w:t>
            </w:r>
          </w:p>
        </w:tc>
        <w:tc>
          <w:tcPr>
            <w:tcW w:w="700" w:type="dxa"/>
            <w:vAlign w:val="bottom"/>
          </w:tcPr>
          <w:p>
            <w:pPr>
              <w:spacing w:after="0"/>
              <w:rPr>
                <w:sz w:val="21"/>
                <w:szCs w:val="21"/>
                <w:color w:val="auto"/>
              </w:rPr>
            </w:pPr>
          </w:p>
        </w:tc>
        <w:tc>
          <w:tcPr>
            <w:tcW w:w="1400" w:type="dxa"/>
            <w:vAlign w:val="bottom"/>
          </w:tcPr>
          <w:p>
            <w:pPr>
              <w:jc w:val="right"/>
              <w:ind w:right="353"/>
              <w:spacing w:after="0"/>
              <w:rPr>
                <w:sz w:val="20"/>
                <w:szCs w:val="20"/>
                <w:color w:val="auto"/>
              </w:rPr>
            </w:pPr>
            <w:r>
              <w:rPr>
                <w:rFonts w:ascii="Arial" w:cs="Arial" w:eastAsia="Arial" w:hAnsi="Arial"/>
                <w:sz w:val="18"/>
                <w:szCs w:val="18"/>
                <w:color w:val="auto"/>
              </w:rPr>
              <w:t>10,709</w:t>
            </w:r>
          </w:p>
        </w:tc>
        <w:tc>
          <w:tcPr>
            <w:tcW w:w="162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2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4"/>
              </w:rPr>
              <w:t>17,043</w:t>
            </w:r>
          </w:p>
        </w:tc>
        <w:tc>
          <w:tcPr>
            <w:tcW w:w="7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35,513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Gain on sale of real property</w:t>
            </w:r>
          </w:p>
        </w:tc>
        <w:tc>
          <w:tcPr>
            <w:tcW w:w="2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1,810</w:t>
            </w:r>
          </w:p>
        </w:tc>
        <w:tc>
          <w:tcPr>
            <w:tcW w:w="7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53"/>
              <w:spacing w:after="0"/>
              <w:rPr>
                <w:sz w:val="20"/>
                <w:szCs w:val="20"/>
                <w:color w:val="auto"/>
              </w:rPr>
            </w:pPr>
            <w:r>
              <w:rPr>
                <w:rFonts w:ascii="Arial" w:cs="Arial" w:eastAsia="Arial" w:hAnsi="Arial"/>
                <w:sz w:val="18"/>
                <w:szCs w:val="18"/>
                <w:color w:val="auto"/>
              </w:rPr>
              <w:t>151</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1,098.7 %</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Reported EBITDA</w:t>
            </w:r>
          </w:p>
        </w:tc>
        <w:tc>
          <w:tcPr>
            <w:tcW w:w="228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7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(5,668)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91.8 %</w:t>
            </w:r>
          </w:p>
        </w:tc>
        <w:tc>
          <w:tcPr>
            <w:tcW w:w="0" w:type="dxa"/>
            <w:vAlign w:val="bottom"/>
          </w:tcPr>
          <w:p>
            <w:pPr>
              <w:spacing w:after="0"/>
              <w:rPr>
                <w:sz w:val="1"/>
                <w:szCs w:val="1"/>
                <w:color w:val="auto"/>
              </w:rPr>
            </w:pP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Reported EBITDA includes $0.3 million and $1.0 million of stock-based compensation expense for the nine months ended April 30,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2016</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Real Estate segment net revenue for the nine months ended April 30, 2016 included the closing of three condominium units at The Ritz-Carlton Residences, Vail ($9.3 million of revenue with an average selling price of $3.1 million and an average price per square foot of $1,586); two condominium units at One Ski Hill Place ($2.5 million of revenue with an average selling price of $1.2 million and an average price per square foot of $1,129); and two condominium units at Crystal Peak Lodge in Breckenridge ($1.5 million of revenue with an average selling price of $0.8 million and an average price per square foot of $725). Real Estate net revenue also included $0.3 million of rental revenue from placing unsold units into our rental program. Additionally, we recorded a gain on sale of real property of $1.8 million (net of $1.9 million in related land basis and costs) for land parcels which sold for $3.7 million.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for the nine months ended April 30, 2016 included cost of sales of $10.1 million resulting from the closing of three condominium units at The Ritz-Carlton Residences, Vail (average cost per square foot of $1,198), two condominium units at One Ski Hill Place (average cost per square foot of $931) and two condominium units at Crystal Peak Lodge (average cost per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308" w:lineRule="auto"/>
        <w:rPr>
          <w:sz w:val="20"/>
          <w:szCs w:val="20"/>
          <w:color w:val="auto"/>
        </w:rPr>
      </w:pPr>
      <w:r>
        <w:rPr>
          <w:rFonts w:ascii="Arial" w:cs="Arial" w:eastAsia="Arial" w:hAnsi="Arial"/>
          <w:sz w:val="17"/>
          <w:szCs w:val="17"/>
          <w:color w:val="auto"/>
        </w:rPr>
        <w:t>square foot of $508). Additionally, sales commissions of approximately $0.9 million were incurred commensurate with revenue recognized. Other operating expense of $5.3 million (including $0.3 million of stock-based compensation) was primarily comprised of general and administrative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2015</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 Estate segment net revenue for the nine months ended April 30, 2015 included the closing of three condominium units at The Ritz-Carlton Residences, Vail ($9.6 million of revenue with an average selling price of $3.2 million and an average price per square foot of $1,541) and nine condominium units at One Ski Hill Place ($10.0 million of revenue with an average selling price of $1.1 million and an average price per square foot of $1,115). Real Estate net revenue also included $8.5 million of revenue from the sale of a development land parcel in Vail and $0.6 million of rental revenue from placing unsold units into our rental program.</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 for the nine months ended April 30, 2015 included cost of sales of $23.0 million resulting from the closing of three condominium units at The Ritz-Carlton Residences, Vail (average cost per square foot of $1,208), nine condominium units at One Ski Hill Place (average cost per square foot of $896) and the sale of a development land parcel in Vail. Additionally, sales commissions of approximately $1.4 million were incurred commensurate with revenue recognized. Other operating expense of $10.7 million (including $1.0 million of stock-based compensation expense) was primarily comprised of general and administrative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segment operating results, the following material items contributed to our overall financial position.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three and nine months ended April 30, 2016 increased $3.2 million and $9.1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compared to the same periods in the prior year, primarily due to assets acquired in the Perisher acquisition and the Park City transformation project.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Change in fair value of Contingent Consideration. </w:t>
      </w:r>
      <w:r>
        <w:rPr>
          <w:rFonts w:ascii="Arial" w:cs="Arial" w:eastAsia="Arial" w:hAnsi="Arial"/>
          <w:sz w:val="17"/>
          <w:szCs w:val="17"/>
          <w:color w:val="auto"/>
        </w:rPr>
        <w:t>There was no change in fair value of the Contingent Consideration recorded during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April 30, 2016. A gain of $4.5 million was recorded during the nine months ended April 30, 2015 related to a decrease in the estimated fair value of the participating contingent payments to Talisker Land Holdings, LLC (“Talisker”) under the lease for Canyons. Commensurate with the acquisition of Park City Mountain Resort, the fair value of the Contingent Consideration includes the resort operations of Park City Mountain Resort in the calculation of EBITDA on which participating contingent payments are made, and increases the EBITDA threshold before which participating contingent payments are made by 10% of the purchase price paid by the Company for Park City Mountain Resort along with all future capital expenditures associated with Park City Mountain Resort, or the combined resort of Park City (comprised of the former standalone Park City Mountain Resort, acquired in September 2014 and the former Canyons Resort). The estimated fair value of the Contingent Consideration is $6.9 million as of April 30, 2016.</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and nine months ended April 30, 2016 decreased $3.3 million and $9.2 million, respectively,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the prior year, primarily due to the redemption of the remaining $215.0 million of our 6.50% Notes outstanding in May 2015 and the redemption of the entire $41.2 million of our Industrial Development Bonds outstanding in May 2015, partially offset by interest expense on the borrowings incurred under the $250.0 million term loan facility, bearing interest at 1.56% at April 30, 2016, used to fund the redemption of the 6.50% Notes and Industrial Development Bonds in May 2015.</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tax rate provision for the three and nine months ended April 30, 2016 was 37.8% and 38.0%, respectively, compared to 37.7%</w:t>
      </w:r>
      <w:r>
        <w:rPr>
          <w:rFonts w:ascii="Arial" w:cs="Arial" w:eastAsia="Arial" w:hAnsi="Arial"/>
          <w:sz w:val="18"/>
          <w:szCs w:val="18"/>
          <w:i w:val="1"/>
          <w:iCs w:val="1"/>
          <w:color w:val="auto"/>
        </w:rPr>
        <w:t xml:space="preserve"> </w:t>
      </w:r>
      <w:r>
        <w:rPr>
          <w:rFonts w:ascii="Arial" w:cs="Arial" w:eastAsia="Arial" w:hAnsi="Arial"/>
          <w:sz w:val="18"/>
          <w:szCs w:val="18"/>
          <w:color w:val="auto"/>
        </w:rPr>
        <w:t>and 28.5%, respectively, for the three and nine months ended April 30, 2015. The interim period effective tax rate is primarily due to anticipated pre-tax book income for the full fiscal year adjusted for items that are deductible/non-deductible for tax purposes only (i.e., permanent items). Additionally, the income tax provision recorded for the nine months ended April 30, 2015 reflects $23.8 million of income tax benefits due to the reversal of income tax contingencies, including accrued interest and penalties, resulting from a settlement with the IRS on the utilization of certain net operating losses (“NOLs”) relating to fresh start accounting from our reorganization in 1992.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Reconciliation of Non-GAAP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from segment Reported EBITDA to net income attributable to Vail Resorts, Inc.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w w:val="94"/>
              </w:rPr>
              <w:t>Three Months Ended April 30,</w:t>
            </w:r>
          </w:p>
        </w:tc>
        <w:tc>
          <w:tcPr>
            <w:tcW w:w="300" w:type="dxa"/>
            <w:vAlign w:val="bottom"/>
          </w:tcPr>
          <w:p>
            <w:pPr>
              <w:spacing w:after="0"/>
              <w:rPr>
                <w:sz w:val="16"/>
                <w:szCs w:val="16"/>
                <w:color w:val="auto"/>
              </w:rPr>
            </w:pPr>
          </w:p>
        </w:tc>
        <w:tc>
          <w:tcPr>
            <w:tcW w:w="27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w w:val="95"/>
              </w:rPr>
              <w:t>Nine Months Ended April 30,</w:t>
            </w:r>
          </w:p>
        </w:tc>
      </w:tr>
      <w:tr>
        <w:trPr>
          <w:trHeight w:val="276"/>
        </w:trPr>
        <w:tc>
          <w:tcPr>
            <w:tcW w:w="800" w:type="dxa"/>
            <w:vAlign w:val="bottom"/>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780" w:type="dxa"/>
            <w:vAlign w:val="bottom"/>
          </w:tcPr>
          <w:p>
            <w:pPr>
              <w:spacing w:after="0"/>
              <w:rPr>
                <w:sz w:val="24"/>
                <w:szCs w:val="24"/>
                <w:color w:val="auto"/>
              </w:rPr>
            </w:pPr>
          </w:p>
        </w:tc>
      </w:tr>
      <w:tr>
        <w:trPr>
          <w:trHeight w:val="250"/>
        </w:trPr>
        <w:tc>
          <w:tcPr>
            <w:tcW w:w="80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291,048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254,747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478,220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394,171</w:t>
            </w:r>
          </w:p>
        </w:tc>
        <w:tc>
          <w:tcPr>
            <w:tcW w:w="780" w:type="dxa"/>
            <w:vAlign w:val="bottom"/>
          </w:tcPr>
          <w:p>
            <w:pPr>
              <w:spacing w:after="0"/>
              <w:rPr>
                <w:sz w:val="21"/>
                <w:szCs w:val="21"/>
                <w:color w:val="auto"/>
              </w:rPr>
            </w:pPr>
          </w:p>
        </w:tc>
      </w:tr>
      <w:tr>
        <w:trPr>
          <w:trHeight w:val="243"/>
        </w:trPr>
        <w:tc>
          <w:tcPr>
            <w:tcW w:w="80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Lodging Reported EBITDA</w:t>
            </w:r>
          </w:p>
        </w:tc>
        <w:tc>
          <w:tcPr>
            <w:tcW w:w="5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15,511</w:t>
            </w:r>
          </w:p>
        </w:tc>
        <w:tc>
          <w:tcPr>
            <w:tcW w:w="28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12,597</w:t>
            </w:r>
          </w:p>
        </w:tc>
        <w:tc>
          <w:tcPr>
            <w:tcW w:w="3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23,856</w:t>
            </w:r>
          </w:p>
        </w:tc>
        <w:tc>
          <w:tcPr>
            <w:tcW w:w="3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18,773</w:t>
            </w:r>
          </w:p>
        </w:tc>
        <w:tc>
          <w:tcPr>
            <w:tcW w:w="780" w:type="dxa"/>
            <w:vAlign w:val="bottom"/>
          </w:tcPr>
          <w:p>
            <w:pPr>
              <w:spacing w:after="0"/>
              <w:rPr>
                <w:sz w:val="21"/>
                <w:szCs w:val="21"/>
                <w:color w:val="auto"/>
              </w:rPr>
            </w:pPr>
          </w:p>
        </w:tc>
      </w:tr>
      <w:tr>
        <w:trPr>
          <w:trHeight w:val="27"/>
        </w:trPr>
        <w:tc>
          <w:tcPr>
            <w:tcW w:w="8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r>
      <w:tr>
        <w:trPr>
          <w:trHeight w:val="244"/>
        </w:trPr>
        <w:tc>
          <w:tcPr>
            <w:tcW w:w="80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Resort Reported EBITDA</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306,559</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267,344</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502,076</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412,944</w:t>
            </w:r>
          </w:p>
        </w:tc>
        <w:tc>
          <w:tcPr>
            <w:tcW w:w="780" w:type="dxa"/>
            <w:vAlign w:val="bottom"/>
          </w:tcPr>
          <w:p>
            <w:pPr>
              <w:spacing w:after="0"/>
              <w:rPr>
                <w:sz w:val="21"/>
                <w:szCs w:val="21"/>
                <w:color w:val="auto"/>
              </w:rPr>
            </w:pPr>
          </w:p>
        </w:tc>
      </w:tr>
      <w:tr>
        <w:trPr>
          <w:trHeight w:val="243"/>
        </w:trPr>
        <w:tc>
          <w:tcPr>
            <w:tcW w:w="80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Real Estate Reported EBITDA</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(1,332)</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(1,408)</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(5,668)</w:t>
            </w:r>
          </w:p>
        </w:tc>
        <w:tc>
          <w:tcPr>
            <w:tcW w:w="780" w:type="dxa"/>
            <w:vAlign w:val="bottom"/>
          </w:tcPr>
          <w:p>
            <w:pPr>
              <w:spacing w:after="0"/>
              <w:rPr>
                <w:sz w:val="21"/>
                <w:szCs w:val="21"/>
                <w:color w:val="auto"/>
              </w:rPr>
            </w:pPr>
          </w:p>
        </w:tc>
      </w:tr>
      <w:tr>
        <w:trPr>
          <w:trHeight w:val="27"/>
        </w:trPr>
        <w:tc>
          <w:tcPr>
            <w:tcW w:w="8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r>
      <w:tr>
        <w:trPr>
          <w:trHeight w:val="244"/>
        </w:trPr>
        <w:tc>
          <w:tcPr>
            <w:tcW w:w="80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Reported EBITDA</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305,227</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265,936</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501,609</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407,276</w:t>
            </w:r>
          </w:p>
        </w:tc>
        <w:tc>
          <w:tcPr>
            <w:tcW w:w="780" w:type="dxa"/>
            <w:vAlign w:val="bottom"/>
          </w:tcPr>
          <w:p>
            <w:pPr>
              <w:spacing w:after="0"/>
              <w:rPr>
                <w:sz w:val="21"/>
                <w:szCs w:val="21"/>
                <w:color w:val="auto"/>
              </w:rPr>
            </w:pPr>
          </w:p>
        </w:tc>
      </w:tr>
      <w:tr>
        <w:trPr>
          <w:trHeight w:val="243"/>
        </w:trPr>
        <w:tc>
          <w:tcPr>
            <w:tcW w:w="80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(41,472)</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(38,242)</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(120,713)</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(111,587)</w:t>
            </w:r>
          </w:p>
        </w:tc>
        <w:tc>
          <w:tcPr>
            <w:tcW w:w="780" w:type="dxa"/>
            <w:vAlign w:val="bottom"/>
          </w:tcPr>
          <w:p>
            <w:pPr>
              <w:spacing w:after="0"/>
              <w:rPr>
                <w:sz w:val="21"/>
                <w:szCs w:val="21"/>
                <w:color w:val="auto"/>
              </w:rPr>
            </w:pPr>
          </w:p>
        </w:tc>
      </w:tr>
      <w:tr>
        <w:trPr>
          <w:trHeight w:val="27"/>
        </w:trPr>
        <w:tc>
          <w:tcPr>
            <w:tcW w:w="8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disposal of fixed assets and other, net</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780" w:type="dxa"/>
            <w:vAlign w:val="bottom"/>
          </w:tcPr>
          <w:p>
            <w:pPr>
              <w:spacing w:after="0"/>
              <w:rPr>
                <w:sz w:val="21"/>
                <w:szCs w:val="21"/>
                <w:color w:val="auto"/>
              </w:rPr>
            </w:pPr>
          </w:p>
        </w:tc>
      </w:tr>
      <w:tr>
        <w:trPr>
          <w:trHeight w:val="243"/>
        </w:trPr>
        <w:tc>
          <w:tcPr>
            <w:tcW w:w="80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5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4,550</w:t>
            </w:r>
          </w:p>
        </w:tc>
        <w:tc>
          <w:tcPr>
            <w:tcW w:w="780" w:type="dxa"/>
            <w:vAlign w:val="bottom"/>
          </w:tcPr>
          <w:p>
            <w:pPr>
              <w:spacing w:after="0"/>
              <w:rPr>
                <w:sz w:val="21"/>
                <w:szCs w:val="21"/>
                <w:color w:val="auto"/>
              </w:rPr>
            </w:pPr>
          </w:p>
        </w:tc>
      </w:tr>
      <w:tr>
        <w:trPr>
          <w:trHeight w:val="27"/>
        </w:trPr>
        <w:tc>
          <w:tcPr>
            <w:tcW w:w="8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 net</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150</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780" w:type="dxa"/>
            <w:vAlign w:val="bottom"/>
          </w:tcPr>
          <w:p>
            <w:pPr>
              <w:spacing w:after="0"/>
              <w:rPr>
                <w:sz w:val="21"/>
                <w:szCs w:val="21"/>
                <w:color w:val="auto"/>
              </w:rPr>
            </w:pPr>
          </w:p>
        </w:tc>
      </w:tr>
      <w:tr>
        <w:trPr>
          <w:trHeight w:val="243"/>
        </w:trPr>
        <w:tc>
          <w:tcPr>
            <w:tcW w:w="80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(10,400)</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(13,735)</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(31,905)</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(41,110)</w:t>
            </w:r>
          </w:p>
        </w:tc>
        <w:tc>
          <w:tcPr>
            <w:tcW w:w="780" w:type="dxa"/>
            <w:vAlign w:val="bottom"/>
          </w:tcPr>
          <w:p>
            <w:pPr>
              <w:spacing w:after="0"/>
              <w:rPr>
                <w:sz w:val="21"/>
                <w:szCs w:val="21"/>
                <w:color w:val="auto"/>
              </w:rPr>
            </w:pPr>
          </w:p>
        </w:tc>
      </w:tr>
      <w:tr>
        <w:trPr>
          <w:trHeight w:val="27"/>
        </w:trPr>
        <w:tc>
          <w:tcPr>
            <w:tcW w:w="8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r>
      <w:tr>
        <w:trPr>
          <w:trHeight w:val="244"/>
        </w:trPr>
        <w:tc>
          <w:tcPr>
            <w:tcW w:w="80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253,341</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214,007</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346,351</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258,432</w:t>
            </w:r>
          </w:p>
        </w:tc>
        <w:tc>
          <w:tcPr>
            <w:tcW w:w="780" w:type="dxa"/>
            <w:vAlign w:val="bottom"/>
          </w:tcPr>
          <w:p>
            <w:pPr>
              <w:spacing w:after="0"/>
              <w:rPr>
                <w:sz w:val="21"/>
                <w:szCs w:val="21"/>
                <w:color w:val="auto"/>
              </w:rPr>
            </w:pPr>
          </w:p>
        </w:tc>
      </w:tr>
      <w:tr>
        <w:trPr>
          <w:trHeight w:val="243"/>
        </w:trPr>
        <w:tc>
          <w:tcPr>
            <w:tcW w:w="800" w:type="dxa"/>
            <w:vAlign w:val="bottom"/>
          </w:tcPr>
          <w:p>
            <w:pPr>
              <w:spacing w:after="0"/>
              <w:rPr>
                <w:sz w:val="21"/>
                <w:szCs w:val="21"/>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(95,804)</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(80,605)</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(131,613)</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(73,654)</w:t>
            </w:r>
          </w:p>
        </w:tc>
        <w:tc>
          <w:tcPr>
            <w:tcW w:w="780" w:type="dxa"/>
            <w:vAlign w:val="bottom"/>
          </w:tcPr>
          <w:p>
            <w:pPr>
              <w:spacing w:after="0"/>
              <w:rPr>
                <w:sz w:val="21"/>
                <w:szCs w:val="21"/>
                <w:color w:val="auto"/>
              </w:rPr>
            </w:pPr>
          </w:p>
        </w:tc>
      </w:tr>
      <w:tr>
        <w:trPr>
          <w:trHeight w:val="27"/>
        </w:trPr>
        <w:tc>
          <w:tcPr>
            <w:tcW w:w="8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r>
      <w:tr>
        <w:trPr>
          <w:trHeight w:val="269"/>
        </w:trPr>
        <w:tc>
          <w:tcPr>
            <w:tcW w:w="80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157,537</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133,402</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214,738</w:t>
            </w: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184,778</w:t>
            </w:r>
          </w:p>
        </w:tc>
        <w:tc>
          <w:tcPr>
            <w:tcW w:w="780" w:type="dxa"/>
            <w:vAlign w:val="bottom"/>
          </w:tcPr>
          <w:p>
            <w:pPr>
              <w:spacing w:after="0"/>
              <w:rPr>
                <w:sz w:val="22"/>
                <w:szCs w:val="22"/>
                <w:color w:val="auto"/>
              </w:rPr>
            </w:pPr>
          </w:p>
        </w:tc>
      </w:tr>
      <w:tr>
        <w:trPr>
          <w:trHeight w:val="237"/>
        </w:trPr>
        <w:tc>
          <w:tcPr>
            <w:tcW w:w="800" w:type="dxa"/>
            <w:vAlign w:val="bottom"/>
          </w:tcPr>
          <w:p>
            <w:pPr>
              <w:spacing w:after="0"/>
              <w:rPr>
                <w:sz w:val="20"/>
                <w:szCs w:val="20"/>
                <w:color w:val="auto"/>
              </w:rPr>
            </w:pPr>
          </w:p>
        </w:tc>
        <w:tc>
          <w:tcPr>
            <w:tcW w:w="4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5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95</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289</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w:t>
            </w:r>
          </w:p>
        </w:tc>
        <w:tc>
          <w:tcPr>
            <w:tcW w:w="780" w:type="dxa"/>
            <w:vAlign w:val="bottom"/>
          </w:tcPr>
          <w:p>
            <w:pPr>
              <w:spacing w:after="0"/>
              <w:rPr>
                <w:sz w:val="20"/>
                <w:szCs w:val="20"/>
                <w:color w:val="auto"/>
              </w:rPr>
            </w:pPr>
          </w:p>
        </w:tc>
      </w:tr>
      <w:tr>
        <w:trPr>
          <w:trHeight w:val="27"/>
        </w:trPr>
        <w:tc>
          <w:tcPr>
            <w:tcW w:w="8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r>
      <w:tr>
        <w:trPr>
          <w:trHeight w:val="269"/>
        </w:trPr>
        <w:tc>
          <w:tcPr>
            <w:tcW w:w="80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157,632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133,410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215,027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184,896</w:t>
            </w:r>
          </w:p>
        </w:tc>
        <w:tc>
          <w:tcPr>
            <w:tcW w:w="780" w:type="dxa"/>
            <w:vAlign w:val="bottom"/>
          </w:tcPr>
          <w:p>
            <w:pPr>
              <w:spacing w:after="0"/>
              <w:rPr>
                <w:sz w:val="22"/>
                <w:szCs w:val="22"/>
                <w:color w:val="auto"/>
              </w:rPr>
            </w:pPr>
          </w:p>
        </w:tc>
      </w:tr>
      <w:tr>
        <w:trPr>
          <w:trHeight w:val="20"/>
        </w:trPr>
        <w:tc>
          <w:tcPr>
            <w:tcW w:w="800" w:type="dxa"/>
            <w:vAlign w:val="bottom"/>
          </w:tcPr>
          <w:p>
            <w:pPr>
              <w:spacing w:after="0" w:line="20" w:lineRule="exact"/>
              <w:rPr>
                <w:sz w:val="1"/>
                <w:szCs w:val="1"/>
                <w:color w:val="auto"/>
              </w:rPr>
            </w:pPr>
          </w:p>
        </w:tc>
        <w:tc>
          <w:tcPr>
            <w:tcW w:w="4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9"/>
        </w:trPr>
        <w:tc>
          <w:tcPr>
            <w:tcW w:w="5780" w:type="dxa"/>
            <w:vAlign w:val="bottom"/>
            <w:gridSpan w:val="2"/>
          </w:tcPr>
          <w:p>
            <w:pPr>
              <w:spacing w:after="0"/>
              <w:rPr>
                <w:sz w:val="20"/>
                <w:szCs w:val="20"/>
                <w:color w:val="auto"/>
              </w:rPr>
            </w:pPr>
            <w:r>
              <w:rPr>
                <w:rFonts w:ascii="Arial" w:cs="Arial" w:eastAsia="Arial" w:hAnsi="Arial"/>
                <w:sz w:val="18"/>
                <w:szCs w:val="18"/>
                <w:color w:val="auto"/>
                <w:w w:val="99"/>
              </w:rPr>
              <w:t>The following table reconciles Net Debt to long-term debt (in thousands):</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09"/>
        </w:trPr>
        <w:tc>
          <w:tcPr>
            <w:tcW w:w="8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April 30,</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6"/>
        </w:trPr>
        <w:tc>
          <w:tcPr>
            <w:tcW w:w="8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75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4"/>
                <w:szCs w:val="14"/>
                <w:b w:val="1"/>
                <w:bCs w:val="1"/>
                <w:color w:val="auto"/>
              </w:rPr>
              <w:t>2015</w:t>
            </w:r>
          </w:p>
        </w:tc>
      </w:tr>
      <w:tr>
        <w:trPr>
          <w:trHeight w:val="25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615,829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379,796</w:t>
            </w:r>
          </w:p>
        </w:tc>
      </w:tr>
      <w:tr>
        <w:trPr>
          <w:trHeight w:val="243"/>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Long-term debt due within one year</w:t>
            </w: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13,349</w:t>
            </w:r>
          </w:p>
        </w:tc>
        <w:tc>
          <w:tcPr>
            <w:tcW w:w="30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256,953</w:t>
            </w:r>
          </w:p>
        </w:tc>
      </w:tr>
      <w:tr>
        <w:trPr>
          <w:trHeight w:val="27"/>
        </w:trPr>
        <w:tc>
          <w:tcPr>
            <w:tcW w:w="57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44"/>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629,178</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636,749</w:t>
            </w:r>
          </w:p>
        </w:tc>
      </w:tr>
      <w:tr>
        <w:trPr>
          <w:trHeight w:val="243"/>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Less: cash and cash equivalents</w:t>
            </w: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68,565</w:t>
            </w:r>
          </w:p>
        </w:tc>
        <w:tc>
          <w:tcPr>
            <w:tcW w:w="30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125,214</w:t>
            </w:r>
          </w:p>
        </w:tc>
      </w:tr>
      <w:tr>
        <w:trPr>
          <w:trHeight w:val="27"/>
        </w:trPr>
        <w:tc>
          <w:tcPr>
            <w:tcW w:w="57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69"/>
        </w:trPr>
        <w:tc>
          <w:tcPr>
            <w:tcW w:w="5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Debt</w:t>
            </w:r>
          </w:p>
        </w:tc>
        <w:tc>
          <w:tcPr>
            <w:tcW w:w="5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560,613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511,535</w:t>
            </w: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4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second and third fiscal quarters historically result in seasonally high cash on hand as our U.S. mountain resorts and Urban ski areas are generally open for ski operations from mid-November to mid-April, from which we have historically generated a significant portion of our operating cash flows for the fiscal year. Additionally, cash provided by or used in operating activities can be significantly impacted by the timing or mix of closings on remaining inventory of real estate available for sale.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$68.6 million of cash and cash equivalents as of April 30, 2016, compared to $125.2 million as of April 30, 2015. We currently anticipate that our Mountain and Lodging segment operating results will continue to provide a significant source of future operating cash flows (primarily those generated in our second and third fiscal quarters) combined with proceeds from the sale of remaining inventory of real estate available for sale from the completed Ritz-Carlton Residences, Vail and One Ski Hill Place at Breckenridge projects, and occasional land sales.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April 30, 2016, we also had $327.4 million of available capacity under the Credit Agreement (which represents the total commitment of $400.0 million less certain letters of credit outstanding of $72.6 million). We expect that our liquidity needs in the near term will be met by continued use of operating cash flows, borrowings under the Credit Agreement, if needed, and proceeds from future real estate closings. We believe the Credit Agreement, which matures in 2020, provides adequate flexibility and is priced favorably with any new borrowings currently priced at LIBOR plus 1.125%.</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584"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Nine months ended April 30, 2016 compared to the nine months ended April 30, 2015</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generated $455.4 million of cash from operating activities during the nine months ended April 30, 2016, an increase of $60.9 million compared to $394.5 million of cash generated during the nine months ended April 30, 2015. The increase in operating cash flows was primarily a result of improved Mountain and Lodging segment operating results for the nine months ended April 30, 2016 compared to the nine months ended April 30, 2015, excluding the non-cash gain on litigation settlement of $16.4 million recorded in the prior period; decreased cash interest payments during the nine months ended April 30, 2016 compared to the same period in the prior year; a $10.0 million Park City litigation payment to Talisker during the nine months ended April 30, 2015; and receipt of a $4.5 million key money deposit related to the termination of the Half Moon management agreement in April 2016. These increases in operating cash inflows were partially offset by a net increase in cash outflows of $35.8 million from the combination of estimated income tax payments made during the nine months end April 30, 2016 and the receipt of an income tax refund during the nine months ended April 30, 2015 in conjunction with the settlement reached with the IRS regarding the utilization of Federal NOLs, and receipt of a $12.5 million legal settlement during the nine months ended April 30, 2015. Additionally, we generated $13.6 million in proceeds from real estate development project closings (net of sales commissions and deposits previously received) during the nine months ended April 30, 2016 compared to $28.2 million in proceeds (net of sales commissions and deposits previously received) from real estate closings that occurred in the nine months ended April 30, 2015.</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investing activities for the nine months ended April 30, 2016 decreased by $157.1 million compared to the nine months ended April 30, 2015, primarily due to the acquisition of Park City Mountain Resort for $182.5 million during the nine months ended April 30, 2015 as compared to the acquisition of Wilmot for $20.2 million during the nine months ended April 30, 2016.</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increased $266.3 million during the nine months ended April 30, 2016, compared to the nine months ended April 30, 2015, primarily due to the payoff of borrowings under the revolver portion of our Credit Agreement associated with the Perisher acquisition in fiscal 2015; repurchases of our common stock of $53.8 million; and an increase in dividends paid of $21.8 million during the nine months ended April 30, 2016 compared to the same period in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cash uses include providing for working capital needs and capital expenditures for assets to be used in resort operations.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Current planned capital expenditures primarily include investments that will allow us to maintain our high quality standards, as well as certain incremental discretionary improvements at our mountain resorts and Urban ski areas and throughout our owned hotels. We evaluate additional discretionary capital improvements based on an expected level of return on investment. We currently anticipate we will spend approximately $100 million of resort capital expenditures for calendar year 2016, excluding capital expenditures for summer related activities and one-time transformational investments at Wilmot. Included in these estimated capital expenditures is approximately $60 million of maintenance capital expenditures, which are necessary to maintain appearance and level of service appropriate to our resort operations, including routine replacement of snow grooming equipment and rental fleet equipment. Discretionary expenditures for calendar year 2016 include, among other projects, a new 500-seat restaurant at the top of the Peak 7 chairlift in Breckenridge, upgrading the Sun Up chairlift at Vail Mountain (Chair 17) from a fixed grip triple to a high-speed four-passenger chairlift, renovation of the Pines Lodge in Beaver Creek, revamping our primary websites to a single ‘responsive’ desktop/mobile platform which will be integrated with our data-based and personalized marketing technology, and further upgrading our customer database and our call center technology. In addition, we expect to spend approximately $14 million on new summer activities related to our Epic Discovery program at Vail, Breckenridge and Heavenly, and approximately $13 million on improvements at Wilmot. Approximately $11 million was spent for capital expenditures in calendar year 2016 as of April 30, 2016, leaving approximately $89 million to spend in the remainder of calendar year 2016, excluding capital expenditures for summer related activities and one-time transformational investments at Wilmot. We currently plan to utilize cash on hand, borrowings available under our Credit Agreement and/or cash flow generated from future operations to provide the cash necessary to complete our capital plans.</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Principal payments on the vast majority of our long-term debt ($585.7 million of the total $629.2 million debt outstanding as of April 30, 2016) are not due until fiscal 2020 and beyond. As of April 30, 2016 and 2015, total long-term debt (including long-term debt due within one year) was $629.2 million and $636.7 million, respectively.</w:t>
      </w: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debt service requirements can be impacted by changing interest rates as we had $296.3 million of variable-rate debt outstanding as of April 30, 2016. A 100-basis point change in LIBOR would cause our annual interest payments to change by approximately $3.0 million. Additionally, the annual lease payments associated with the financing of the Canyons transaction increase by the greater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57" w:lineRule="auto"/>
        <w:rPr>
          <w:sz w:val="20"/>
          <w:szCs w:val="20"/>
          <w:color w:val="auto"/>
        </w:rPr>
      </w:pPr>
      <w:r>
        <w:rPr>
          <w:rFonts w:ascii="Arial" w:cs="Arial" w:eastAsia="Arial" w:hAnsi="Arial"/>
          <w:sz w:val="18"/>
          <w:szCs w:val="18"/>
          <w:color w:val="auto"/>
        </w:rPr>
        <w:t>of CPI less 1%, or 2%. The fluctuation in our debt service requirements, in addition to interest rate and inflation changes, may be impacted by future borrowings under our Credit Agreement or other alternative financing arrangements we may enter into. Our long term liquidity needs depend upon operating results that impact the borrowing capacity under the Credit Agreement, which can be mitigated by adjustments to capital expenditures, flexibility of investment activities and the ability to obtain favorable future financing. We can also respond to liquidity impacts of changes in the business and economic environment by managing our capital expenditures.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Our Board of Directors initially authorized the repurchase of up to 3,000,000 shares of common stock (March 9, 2006) and later authorized additional repurchases of up to 3,000,000 additional shares (July 16, 2008) and 1,500,000 shares (December 4, 2015), for a total authorization to repurchase shares of up to 7,500,000 shares. During the nine months ended April 30, 2016, we repurchased 485,866 shares of common stock at a cost of $53.8 million. Since inception of this stock repurchase program through April 30, 2016, we have repurchased 5,434,977 shares at a cost of approximately $247.0 million. As of April 30, 2016, 2,065,023 shares remained available to repurchase under the existing repurchase authorization. Shares of common stock purchased pursuant to the repurchase program will be held as treasury shares and may be used for the issuance of shares under the Company’s share award plan. Repurchases under the program may be made from time to time at prevailing prices as permitted by applicable laws, and subject to market conditions and other factors. The timing as well as the number of shares that may be repurchased under the program will depend on several factors, including our future financial performance, our available cash resources and competing uses for cash that may arise in the future, the restrictions in our Credit Agreement, prevailing prices of our common stock and the number of shares that become available for sale at prices that we believe are attractive. The share repurchase program has no expiration date.</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of $0.15 per share, subject to quarterly declaration. Since the initial commencement of a regular quarterly cash dividend, our Board of Directors has annually approved an increase to our cash dividend on our common stock and on March 9, 2016, our Board of Directors approved an approximate 30% increase to our quarterly cash dividend to $0.81 per share (or approximately $29.3 million per quarter based upon shares outstanding as of April 30, 2016). During the nine months ended April 30, 2016, the Company paid cash dividends of $2.055 per share or $74.5 million in the aggregate. These dividends were funded through available cash on hand and borrowing under the revolving portion of our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Credit Agreement, future prospects for earnings and cash flows, as well as other factors considered relevant by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must abide by certain restrictive financial covenants under our Credit Agreement. The most restrictive of those covenants include the following covenants: Net Funded Debt to Adjusted EBITDA ratio and the Interest Coverage ratio (each as defined in the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Credit Agreement is primarily determined by the Net Funded Debt to Adjusted EBITDA ratio, which is based on our segment operating performance, as defined in the Credit Agreement.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 compliance with all restrictive financial covenants in our debt instruments as of April 30, 2016. We expect that we will meet all applicable financial maintenance covenants in our Credit Agreement, including the Net Funded Debt to Adjusted EBITDA ratio, throughout the year ending July 31, 2016. However, there can be no assurance we will meet such financial covenants. If such covenants are not met, we would be required to seek a waiver or amendment from the banks participating in the Credit Agreement. There can be no assurance that such waiver or amendment would be granted, which could have a material adverse impact on our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in this Form 10-Q contain certain forward-looking statements within the meaning of the Private Securities Litigation Reform Act of 1995.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natural disasters;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w:t>
      </w: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adverse events that occur during our peak operating periods combined with the seasonality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reliance on information technology;</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maintain the integrity of our customer or employee data;</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from the risk of accidents at our mountain resorts;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a sufficient seasonal workforce;</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loss of key personnel;</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future acquisitions;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realize anticipated financial benefits from Park City;</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in particular the Australian dollar;</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impairments or write downs of our assets;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estimates and judgments, accounting principles, policies or guidelines;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this Form 10-Q and in Part I, Item 1A “Risk Factors” of the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74" w:lineRule="exact"/>
        <w:rPr>
          <w:sz w:val="20"/>
          <w:szCs w:val="20"/>
          <w:color w:val="auto"/>
        </w:rPr>
      </w:pPr>
    </w:p>
    <w:p>
      <w:pPr>
        <w:ind w:right="4240"/>
        <w:spacing w:after="0" w:line="40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Our exposure to market risk has not materially changed since July 31, 2015.</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period covered by this Form 10-Q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those risk factors previously disclosed in Item 1A to Part I of the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purchases of shares of our common stock during the third quarter of fiscal 2016:</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Total Number of</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3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Average</w:t>
            </w: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Shares Purchased</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3380" w:type="dxa"/>
            <w:vAlign w:val="bottom"/>
          </w:tcPr>
          <w:p>
            <w:pPr>
              <w:spacing w:after="0"/>
              <w:rPr>
                <w:sz w:val="18"/>
                <w:szCs w:val="18"/>
                <w:color w:val="auto"/>
              </w:rPr>
            </w:pPr>
          </w:p>
        </w:tc>
        <w:tc>
          <w:tcPr>
            <w:tcW w:w="1960" w:type="dxa"/>
            <w:vAlign w:val="bottom"/>
          </w:tcPr>
          <w:p>
            <w:pPr>
              <w:jc w:val="center"/>
              <w:ind w:left="230"/>
              <w:spacing w:after="0"/>
              <w:rPr>
                <w:sz w:val="20"/>
                <w:szCs w:val="20"/>
                <w:color w:val="auto"/>
              </w:rPr>
            </w:pPr>
            <w:r>
              <w:rPr>
                <w:rFonts w:ascii="Arial" w:cs="Arial" w:eastAsia="Arial" w:hAnsi="Arial"/>
                <w:sz w:val="18"/>
                <w:szCs w:val="18"/>
                <w:b w:val="1"/>
                <w:bCs w:val="1"/>
                <w:color w:val="auto"/>
                <w:w w:val="93"/>
              </w:rPr>
              <w:t>Total Number</w:t>
            </w:r>
          </w:p>
        </w:tc>
        <w:tc>
          <w:tcPr>
            <w:tcW w:w="420" w:type="dxa"/>
            <w:vAlign w:val="bottom"/>
          </w:tcPr>
          <w:p>
            <w:pPr>
              <w:spacing w:after="0"/>
              <w:rPr>
                <w:sz w:val="18"/>
                <w:szCs w:val="18"/>
                <w:color w:val="auto"/>
              </w:rPr>
            </w:pPr>
          </w:p>
        </w:tc>
        <w:tc>
          <w:tcPr>
            <w:tcW w:w="152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Price</w:t>
            </w: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as Part of Publicly</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3380" w:type="dxa"/>
            <w:vAlign w:val="bottom"/>
          </w:tcPr>
          <w:p>
            <w:pPr>
              <w:spacing w:after="0"/>
              <w:rPr>
                <w:sz w:val="18"/>
                <w:szCs w:val="18"/>
                <w:color w:val="auto"/>
              </w:rPr>
            </w:pPr>
          </w:p>
        </w:tc>
        <w:tc>
          <w:tcPr>
            <w:tcW w:w="1960" w:type="dxa"/>
            <w:vAlign w:val="bottom"/>
          </w:tcPr>
          <w:p>
            <w:pPr>
              <w:jc w:val="center"/>
              <w:ind w:left="210"/>
              <w:spacing w:after="0"/>
              <w:rPr>
                <w:sz w:val="20"/>
                <w:szCs w:val="20"/>
                <w:color w:val="auto"/>
              </w:rPr>
            </w:pPr>
            <w:r>
              <w:rPr>
                <w:rFonts w:ascii="Arial" w:cs="Arial" w:eastAsia="Arial" w:hAnsi="Arial"/>
                <w:sz w:val="18"/>
                <w:szCs w:val="18"/>
                <w:b w:val="1"/>
                <w:bCs w:val="1"/>
                <w:color w:val="auto"/>
                <w:w w:val="85"/>
              </w:rPr>
              <w:t>of Shares</w:t>
            </w:r>
          </w:p>
        </w:tc>
        <w:tc>
          <w:tcPr>
            <w:tcW w:w="420" w:type="dxa"/>
            <w:vAlign w:val="bottom"/>
          </w:tcPr>
          <w:p>
            <w:pPr>
              <w:spacing w:after="0"/>
              <w:rPr>
                <w:sz w:val="18"/>
                <w:szCs w:val="18"/>
                <w:color w:val="auto"/>
              </w:rPr>
            </w:pPr>
          </w:p>
        </w:tc>
        <w:tc>
          <w:tcPr>
            <w:tcW w:w="152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Paid per</w:t>
            </w: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Announced Plans</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3380" w:type="dxa"/>
            <w:vAlign w:val="bottom"/>
          </w:tcPr>
          <w:p>
            <w:pPr>
              <w:ind w:left="1620"/>
              <w:spacing w:after="0"/>
              <w:rPr>
                <w:sz w:val="20"/>
                <w:szCs w:val="20"/>
                <w:color w:val="auto"/>
              </w:rPr>
            </w:pPr>
            <w:r>
              <w:rPr>
                <w:rFonts w:ascii="Arial" w:cs="Arial" w:eastAsia="Arial" w:hAnsi="Arial"/>
                <w:sz w:val="18"/>
                <w:szCs w:val="18"/>
                <w:b w:val="1"/>
                <w:bCs w:val="1"/>
                <w:color w:val="auto"/>
              </w:rPr>
              <w:t>Period</w:t>
            </w:r>
          </w:p>
        </w:tc>
        <w:tc>
          <w:tcPr>
            <w:tcW w:w="19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Purchased</w:t>
            </w:r>
          </w:p>
        </w:tc>
        <w:tc>
          <w:tcPr>
            <w:tcW w:w="420" w:type="dxa"/>
            <w:vAlign w:val="bottom"/>
          </w:tcPr>
          <w:p>
            <w:pPr>
              <w:spacing w:after="0"/>
              <w:rPr>
                <w:sz w:val="20"/>
                <w:szCs w:val="20"/>
                <w:color w:val="auto"/>
              </w:rPr>
            </w:pPr>
          </w:p>
        </w:tc>
        <w:tc>
          <w:tcPr>
            <w:tcW w:w="1520" w:type="dxa"/>
            <w:vAlign w:val="bottom"/>
          </w:tcPr>
          <w:p>
            <w:pPr>
              <w:jc w:val="center"/>
              <w:ind w:right="350"/>
              <w:spacing w:after="0"/>
              <w:rPr>
                <w:sz w:val="20"/>
                <w:szCs w:val="20"/>
                <w:color w:val="auto"/>
              </w:rPr>
            </w:pPr>
            <w:r>
              <w:rPr>
                <w:rFonts w:ascii="Arial" w:cs="Arial" w:eastAsia="Arial" w:hAnsi="Arial"/>
                <w:sz w:val="18"/>
                <w:szCs w:val="18"/>
                <w:b w:val="1"/>
                <w:bCs w:val="1"/>
                <w:color w:val="auto"/>
                <w:w w:val="87"/>
              </w:rPr>
              <w:t>Share</w:t>
            </w: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or Programs (1)</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1"/>
              </w:rPr>
              <w:t>Programs (1)</w:t>
            </w:r>
          </w:p>
        </w:tc>
      </w:tr>
      <w:tr>
        <w:trPr>
          <w:trHeight w:val="27"/>
        </w:trPr>
        <w:tc>
          <w:tcPr>
            <w:tcW w:w="3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1, 2016 – February 29, 2016</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2,173,059</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March 1, 2016 – March 31, 2016</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108,036</w:t>
            </w:r>
          </w:p>
        </w:tc>
        <w:tc>
          <w:tcPr>
            <w:tcW w:w="42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127.59</w:t>
            </w: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108,036</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2,065,023</w:t>
            </w:r>
          </w:p>
        </w:tc>
      </w:tr>
      <w:tr>
        <w:trPr>
          <w:trHeight w:val="27"/>
        </w:trPr>
        <w:tc>
          <w:tcPr>
            <w:tcW w:w="3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2016 – April 30, 2016</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2,065,023</w:t>
            </w:r>
          </w:p>
        </w:tc>
      </w:tr>
      <w:tr>
        <w:trPr>
          <w:trHeight w:val="237"/>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108,036</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127.59</w:t>
            </w:r>
          </w:p>
        </w:tc>
        <w:tc>
          <w:tcPr>
            <w:tcW w:w="2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108,036</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2,065,023</w:t>
            </w:r>
          </w:p>
        </w:tc>
      </w:tr>
      <w:tr>
        <w:trPr>
          <w:trHeight w:val="27"/>
        </w:trPr>
        <w:tc>
          <w:tcPr>
            <w:tcW w:w="3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660" w:hanging="328"/>
        <w:spacing w:after="0" w:line="273"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share repurchase program is conducted under authorizations made from time to time by our Board of Directors. The Board of Directors initially authorized the repurchase of up to 3,000,000 shares of common stock (March 9, 2006), and later authorized additional repurchases of up to 3,000,000 additional shares (July 16, 2008) and 1,500,000 shares (December 4, 2015), for a total authorization to repurchase shares of up to 7,500,000 shares. As of April 30, 2016, 2,065,023 shares remained available to repurchase under the existing repurchase authorization. Repurchases under these authorizations may be made from time to time at prevailing prices as permitted by applicable laws, and subject to market conditions and other factors. These authorizations have no expiration date.</w:t>
      </w:r>
    </w:p>
    <w:p>
      <w:pPr>
        <w:sectPr>
          <w:pgSz w:w="11900" w:h="16838" w:orient="portrait"/>
          <w:cols w:equalWidth="0" w:num="1">
            <w:col w:w="11420"/>
          </w:cols>
          <w:pgMar w:left="240" w:top="8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823"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580"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herewith or, if so indicated, incorporated by reference to the documents indicated in parentheses, which have previously been filed with the Securities and Exchange Commission.</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jc w:val="center"/>
              <w:ind w:left="77"/>
              <w:spacing w:after="0"/>
              <w:rPr>
                <w:sz w:val="20"/>
                <w:szCs w:val="20"/>
                <w:color w:val="auto"/>
              </w:rPr>
            </w:pPr>
            <w:r>
              <w:rPr>
                <w:rFonts w:ascii="Arial" w:cs="Arial" w:eastAsia="Arial" w:hAnsi="Arial"/>
                <w:sz w:val="14"/>
                <w:szCs w:val="14"/>
                <w:b w:val="1"/>
                <w:bCs w:val="1"/>
                <w:color w:val="auto"/>
                <w:w w:val="98"/>
              </w:rPr>
              <w:t>Exhibit</w:t>
            </w:r>
          </w:p>
        </w:tc>
        <w:tc>
          <w:tcPr>
            <w:tcW w:w="8440" w:type="dxa"/>
            <w:vAlign w:val="bottom"/>
            <w:vMerge w:val="restart"/>
          </w:tcPr>
          <w:p>
            <w:pPr>
              <w:ind w:left="4020"/>
              <w:spacing w:after="0"/>
              <w:rPr>
                <w:sz w:val="20"/>
                <w:szCs w:val="20"/>
                <w:color w:val="auto"/>
              </w:rPr>
            </w:pPr>
            <w:r>
              <w:rPr>
                <w:rFonts w:ascii="Arial" w:cs="Arial" w:eastAsia="Arial" w:hAnsi="Arial"/>
                <w:sz w:val="14"/>
                <w:szCs w:val="14"/>
                <w:b w:val="1"/>
                <w:bCs w:val="1"/>
                <w:color w:val="auto"/>
              </w:rPr>
              <w:t>Description</w:t>
            </w:r>
          </w:p>
        </w:tc>
        <w:tc>
          <w:tcPr>
            <w:tcW w:w="1440" w:type="dxa"/>
            <w:vAlign w:val="bottom"/>
          </w:tcPr>
          <w:p>
            <w:pPr>
              <w:jc w:val="center"/>
              <w:ind w:left="357"/>
              <w:spacing w:after="0"/>
              <w:rPr>
                <w:sz w:val="20"/>
                <w:szCs w:val="20"/>
                <w:color w:val="auto"/>
              </w:rPr>
            </w:pPr>
            <w:r>
              <w:rPr>
                <w:rFonts w:ascii="Arial" w:cs="Arial" w:eastAsia="Arial" w:hAnsi="Arial"/>
                <w:sz w:val="14"/>
                <w:szCs w:val="14"/>
                <w:b w:val="1"/>
                <w:bCs w:val="1"/>
                <w:color w:val="auto"/>
                <w:w w:val="92"/>
              </w:rPr>
              <w:t>Sequentially</w:t>
            </w:r>
          </w:p>
        </w:tc>
        <w:tc>
          <w:tcPr>
            <w:tcW w:w="0" w:type="dxa"/>
            <w:vAlign w:val="bottom"/>
          </w:tcPr>
          <w:p>
            <w:pPr>
              <w:spacing w:after="0"/>
              <w:rPr>
                <w:sz w:val="1"/>
                <w:szCs w:val="1"/>
                <w:color w:val="auto"/>
              </w:rPr>
            </w:pPr>
          </w:p>
        </w:tc>
      </w:tr>
      <w:tr>
        <w:trPr>
          <w:trHeight w:val="186"/>
        </w:trPr>
        <w:tc>
          <w:tcPr>
            <w:tcW w:w="1140" w:type="dxa"/>
            <w:vAlign w:val="bottom"/>
          </w:tcPr>
          <w:p>
            <w:pPr>
              <w:jc w:val="center"/>
              <w:ind w:left="97"/>
              <w:spacing w:after="0"/>
              <w:rPr>
                <w:sz w:val="20"/>
                <w:szCs w:val="20"/>
                <w:color w:val="auto"/>
              </w:rPr>
            </w:pPr>
            <w:r>
              <w:rPr>
                <w:rFonts w:ascii="Arial" w:cs="Arial" w:eastAsia="Arial" w:hAnsi="Arial"/>
                <w:sz w:val="14"/>
                <w:szCs w:val="14"/>
                <w:b w:val="1"/>
                <w:bCs w:val="1"/>
                <w:color w:val="auto"/>
                <w:w w:val="98"/>
              </w:rPr>
              <w:t>Number</w:t>
            </w:r>
          </w:p>
        </w:tc>
        <w:tc>
          <w:tcPr>
            <w:tcW w:w="8440" w:type="dxa"/>
            <w:vAlign w:val="bottom"/>
            <w:vMerge w:val="continue"/>
          </w:tcPr>
          <w:p>
            <w:pPr>
              <w:spacing w:after="0"/>
              <w:rPr>
                <w:sz w:val="16"/>
                <w:szCs w:val="16"/>
                <w:color w:val="auto"/>
              </w:rPr>
            </w:pPr>
          </w:p>
        </w:tc>
        <w:tc>
          <w:tcPr>
            <w:tcW w:w="1440" w:type="dxa"/>
            <w:vAlign w:val="bottom"/>
          </w:tcPr>
          <w:p>
            <w:pPr>
              <w:jc w:val="center"/>
              <w:ind w:left="377"/>
              <w:spacing w:after="0"/>
              <w:rPr>
                <w:sz w:val="20"/>
                <w:szCs w:val="20"/>
                <w:color w:val="auto"/>
              </w:rPr>
            </w:pPr>
            <w:r>
              <w:rPr>
                <w:rFonts w:ascii="Arial" w:cs="Arial" w:eastAsia="Arial" w:hAnsi="Arial"/>
                <w:sz w:val="14"/>
                <w:szCs w:val="14"/>
                <w:b w:val="1"/>
                <w:bCs w:val="1"/>
                <w:color w:val="auto"/>
                <w:w w:val="91"/>
              </w:rPr>
              <w:t>Numbered Page</w:t>
            </w:r>
          </w:p>
        </w:tc>
        <w:tc>
          <w:tcPr>
            <w:tcW w:w="0" w:type="dxa"/>
            <w:vAlign w:val="bottom"/>
          </w:tcPr>
          <w:p>
            <w:pPr>
              <w:spacing w:after="0"/>
              <w:rPr>
                <w:sz w:val="1"/>
                <w:szCs w:val="1"/>
                <w:color w:val="auto"/>
              </w:rPr>
            </w:pPr>
          </w:p>
        </w:tc>
      </w:tr>
      <w:tr>
        <w:trPr>
          <w:trHeight w:val="539"/>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844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1440" w:type="dxa"/>
            <w:vAlign w:val="bottom"/>
          </w:tcPr>
          <w:p>
            <w:pPr>
              <w:jc w:val="center"/>
              <w:ind w:left="377"/>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554"/>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844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1440" w:type="dxa"/>
            <w:vAlign w:val="bottom"/>
          </w:tcPr>
          <w:p>
            <w:pPr>
              <w:jc w:val="center"/>
              <w:ind w:left="377"/>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539"/>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8440" w:type="dxa"/>
            <w:vAlign w:val="bottom"/>
          </w:tcPr>
          <w:p>
            <w:pPr>
              <w:ind w:left="240"/>
              <w:spacing w:after="0"/>
              <w:rPr>
                <w:sz w:val="20"/>
                <w:szCs w:val="20"/>
                <w:color w:val="auto"/>
              </w:rPr>
            </w:pPr>
            <w:r>
              <w:rPr>
                <w:rFonts w:ascii="Arial" w:cs="Arial" w:eastAsia="Arial" w:hAnsi="Arial"/>
                <w:sz w:val="18"/>
                <w:szCs w:val="18"/>
                <w:color w:val="auto"/>
                <w:w w:val="97"/>
              </w:rPr>
              <w:t>Certifications of Chief Executive Officer and Chief Financial Officer pursuant to 18 U.S.C. Section 1350 as</w:t>
            </w:r>
          </w:p>
        </w:tc>
        <w:tc>
          <w:tcPr>
            <w:tcW w:w="1440" w:type="dxa"/>
            <w:vAlign w:val="bottom"/>
          </w:tcPr>
          <w:p>
            <w:pPr>
              <w:jc w:val="center"/>
              <w:ind w:left="377"/>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8440" w:type="dxa"/>
            <w:vAlign w:val="bottom"/>
          </w:tcPr>
          <w:p>
            <w:pPr>
              <w:ind w:left="2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420" w:right="1740" w:hanging="1385"/>
        <w:spacing w:after="0" w:line="290" w:lineRule="auto"/>
        <w:tabs>
          <w:tab w:leader="none" w:pos="1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information from the Company’s Quarterly Report on Form 10-Q for the three and nine months ended April 30, 2016 formatted in eXtensible Business Reporting Language: (i) Unaudited Consolidated Condensed Balance Sheets as of April 30, 2016, July 31, 2015, and April 30, 2015; (ii) Unaudited Consolidated Condensed Statements of Operations for the three and nine months ended April 30, 2016 and 2015; (iii) Unaudited Consolidated Condensed Statements of Comprehensive Income for the three and nine months ended April 30, 2016 and 2015; (iv) Unaudited Consolidated Condensed Statements of Stockholders’ Equity for the nine months ended April 30, 2016 and 2015; (v) Unaudited Consolidated Condensed Statements of Cash Flows for the nine months ended April 30, 2016 and 2015; and (vi) Notes to the Consolidated Condensed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77" w:right="239" w:bottom="1440" w:gutter="0" w:footer="0" w:header="0"/>
        </w:sectPr>
      </w:pPr>
    </w:p>
    <w:bookmarkStart w:id="42" w:name="page43"/>
    <w:bookmarkEnd w:id="4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Vail Resorts, Inc.</w:t>
      </w:r>
    </w:p>
    <w:p>
      <w:pPr>
        <w:spacing w:after="0" w:line="387" w:lineRule="exact"/>
        <w:rPr>
          <w:sz w:val="20"/>
          <w:szCs w:val="20"/>
          <w:color w:val="auto"/>
        </w:rPr>
      </w:pPr>
    </w:p>
    <w:p>
      <w:pPr>
        <w:ind w:left="40"/>
        <w:spacing w:after="0"/>
        <w:tabs>
          <w:tab w:leader="none" w:pos="5680" w:val="left"/>
          <w:tab w:leader="none" w:pos="7860" w:val="left"/>
        </w:tabs>
        <w:rPr>
          <w:sz w:val="20"/>
          <w:szCs w:val="20"/>
          <w:color w:val="auto"/>
        </w:rPr>
      </w:pPr>
      <w:r>
        <w:rPr>
          <w:rFonts w:ascii="Arial" w:cs="Arial" w:eastAsia="Arial" w:hAnsi="Arial"/>
          <w:sz w:val="18"/>
          <w:szCs w:val="18"/>
          <w:color w:val="auto"/>
        </w:rPr>
        <w:t>Date: June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5680" w:val="left"/>
          <w:tab w:leader="none" w:pos="7980" w:val="left"/>
        </w:tabs>
        <w:rPr>
          <w:sz w:val="20"/>
          <w:szCs w:val="20"/>
          <w:color w:val="auto"/>
        </w:rPr>
      </w:pPr>
      <w:r>
        <w:rPr>
          <w:rFonts w:ascii="Arial" w:cs="Arial" w:eastAsia="Arial" w:hAnsi="Arial"/>
          <w:sz w:val="18"/>
          <w:szCs w:val="18"/>
          <w:color w:val="auto"/>
        </w:rPr>
        <w:t>Date: June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Ryan H. Siurek</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Vice President, Controller and</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1013" w:right="4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60" w:hanging="195"/>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195"/>
        <w:spacing w:after="0" w:line="29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195"/>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180" w:right="200" w:hanging="191"/>
        <w:spacing w:after="0" w:line="264"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180" w:right="340" w:hanging="201"/>
        <w:spacing w:after="0" w:line="264"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180" w:right="500" w:hanging="191"/>
        <w:spacing w:after="0" w:line="317" w:lineRule="auto"/>
        <w:tabs>
          <w:tab w:leader="none" w:pos="11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80" w:right="200" w:hanging="201"/>
        <w:spacing w:after="0" w:line="264"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340" w:hanging="195"/>
        <w:spacing w:after="0" w:line="29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760" w:hanging="191"/>
        <w:spacing w:after="0" w:line="317" w:lineRule="auto"/>
        <w:tabs>
          <w:tab w:leader="none" w:pos="11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40" w:hanging="201"/>
        <w:spacing w:after="0" w:line="277"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9, 2016</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60" w:hanging="195"/>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195"/>
        <w:spacing w:after="0" w:line="29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195"/>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180" w:right="200" w:hanging="191"/>
        <w:spacing w:after="0" w:line="264" w:lineRule="auto"/>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180" w:right="340" w:hanging="201"/>
        <w:spacing w:after="0" w:line="264" w:lineRule="auto"/>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180" w:right="500" w:hanging="191"/>
        <w:spacing w:after="0" w:line="317" w:lineRule="auto"/>
        <w:tabs>
          <w:tab w:leader="none" w:pos="11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80" w:right="200" w:hanging="201"/>
        <w:spacing w:after="0" w:line="264" w:lineRule="auto"/>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340" w:hanging="195"/>
        <w:spacing w:after="0" w:line="29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760" w:hanging="191"/>
        <w:spacing w:after="0" w:line="317" w:lineRule="auto"/>
        <w:tabs>
          <w:tab w:leader="none" w:pos="11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40" w:hanging="201"/>
        <w:spacing w:after="0" w:line="277" w:lineRule="auto"/>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9, 2016</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8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April 30, 2016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9, 2016</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9, 2016</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0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2019-12-29T11:18:26Z</dcterms:created>
  <dcterms:modified xsi:type="dcterms:W3CDTF">2019-12-29T11:18:26Z</dcterms:modified>
</cp:coreProperties>
</file>