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8" w:lineRule="exact"/>
        <w:rPr>
          <w:sz w:val="24"/>
          <w:szCs w:val="24"/>
          <w:color w:val="auto"/>
        </w:rPr>
      </w:pPr>
    </w:p>
    <w:p>
      <w:pPr>
        <w:ind w:left="680" w:hanging="641"/>
        <w:spacing w:after="0"/>
        <w:tabs>
          <w:tab w:leader="none" w:pos="680" w:val="left"/>
        </w:tabs>
        <w:numPr>
          <w:ilvl w:val="0"/>
          <w:numId w:val="1"/>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QUARTERLY</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October 31, 2022</w:t>
      </w:r>
    </w:p>
    <w:p>
      <w:pPr>
        <w:spacing w:after="0" w:line="72" w:lineRule="exact"/>
        <w:rPr>
          <w:sz w:val="24"/>
          <w:szCs w:val="24"/>
          <w:color w:val="auto"/>
        </w:rPr>
      </w:pPr>
    </w:p>
    <w:p>
      <w:pPr>
        <w:ind w:left="680" w:hanging="641"/>
        <w:spacing w:after="0"/>
        <w:tabs>
          <w:tab w:leader="none" w:pos="680" w:val="left"/>
        </w:tabs>
        <w:numPr>
          <w:ilvl w:val="0"/>
          <w:numId w:val="2"/>
        </w:numPr>
        <w:rPr>
          <w:rFonts w:ascii="MS PGothic" w:cs="MS PGothic" w:eastAsia="MS PGothic" w:hAnsi="MS PGothic"/>
          <w:sz w:val="33"/>
          <w:szCs w:val="33"/>
          <w:color w:val="auto"/>
        </w:rPr>
      </w:pPr>
      <w:r>
        <w:rPr>
          <w:rFonts w:ascii="Times New Roman" w:cs="Times New Roman" w:eastAsia="Times New Roman" w:hAnsi="Times New Roman"/>
          <w:sz w:val="20"/>
          <w:szCs w:val="20"/>
          <w:b w:val="1"/>
          <w:bCs w:val="1"/>
          <w:color w:val="auto"/>
        </w:rPr>
        <w:t>TRANSITION</w:t>
      </w:r>
      <w:r>
        <w:rPr>
          <w:rFonts w:ascii="Times New Roman" w:cs="Times New Roman" w:eastAsia="Times New Roman" w:hAnsi="Times New Roman"/>
          <w:sz w:val="39"/>
          <w:szCs w:val="39"/>
          <w:b w:val="1"/>
          <w:bCs w:val="1"/>
          <w:color w:val="auto"/>
          <w:vertAlign w:val="subscript"/>
        </w:rPr>
        <w:t>1934</w:t>
      </w:r>
      <w:r>
        <w:rPr>
          <w:rFonts w:ascii="Times New Roman" w:cs="Times New Roman" w:eastAsia="Times New Roman" w:hAnsi="Times New Roman"/>
          <w:sz w:val="20"/>
          <w:szCs w:val="20"/>
          <w:b w:val="1"/>
          <w:bCs w:val="1"/>
          <w:color w:val="auto"/>
        </w:rPr>
        <w:t xml:space="preserve"> REPORT PURSUANT TO SECTION 13 OR 15(d) OF THE SECURITIES EXCHANGE ACT OF</w:t>
      </w:r>
    </w:p>
    <w:p>
      <w:pPr>
        <w:spacing w:after="0" w:line="245" w:lineRule="exact"/>
        <w:rPr>
          <w:sz w:val="24"/>
          <w:szCs w:val="24"/>
          <w:color w:val="auto"/>
        </w:rPr>
      </w:pPr>
    </w:p>
    <w:p>
      <w:pPr>
        <w:ind w:left="388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85725</wp:posOffset>
            </wp:positionV>
            <wp:extent cx="31286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Vail Resorts,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84"/>
              <w:spacing w:after="0"/>
              <w:rPr>
                <w:sz w:val="20"/>
                <w:szCs w:val="20"/>
                <w:color w:val="auto"/>
              </w:rPr>
            </w:pPr>
            <w:r>
              <w:rPr>
                <w:rFonts w:ascii="Times New Roman" w:cs="Times New Roman" w:eastAsia="Times New Roman" w:hAnsi="Times New Roman"/>
                <w:sz w:val="18"/>
                <w:szCs w:val="18"/>
                <w:b w:val="1"/>
                <w:bCs w:val="1"/>
                <w:color w:val="auto"/>
              </w:rPr>
              <w:t>51-0291762</w:t>
            </w:r>
          </w:p>
        </w:tc>
        <w:tc>
          <w:tcPr>
            <w:tcW w:w="860" w:type="dxa"/>
            <w:vAlign w:val="bottom"/>
          </w:tcPr>
          <w:p>
            <w:pPr>
              <w:spacing w:after="0"/>
              <w:rPr>
                <w:sz w:val="20"/>
                <w:szCs w:val="20"/>
                <w:color w:val="auto"/>
              </w:rPr>
            </w:pPr>
          </w:p>
        </w:tc>
      </w:tr>
      <w:tr>
        <w:trPr>
          <w:trHeight w:val="128"/>
        </w:trPr>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40" w:type="dxa"/>
            <w:vAlign w:val="bottom"/>
            <w:gridSpan w:val="3"/>
          </w:tcPr>
          <w:p>
            <w:pPr>
              <w:jc w:val="center"/>
              <w:ind w:left="838"/>
              <w:spacing w:after="0" w:line="12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9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29" w:lineRule="exact"/>
              <w:rPr>
                <w:sz w:val="20"/>
                <w:szCs w:val="20"/>
                <w:color w:val="auto"/>
              </w:rPr>
            </w:pPr>
            <w:r>
              <w:rPr>
                <w:rFonts w:ascii="Times New Roman" w:cs="Times New Roman" w:eastAsia="Times New Roman" w:hAnsi="Times New Roman"/>
                <w:sz w:val="14"/>
                <w:szCs w:val="14"/>
                <w:color w:val="auto"/>
              </w:rPr>
              <w:t>(I.R.S. Employer</w:t>
            </w:r>
          </w:p>
        </w:tc>
        <w:tc>
          <w:tcPr>
            <w:tcW w:w="860" w:type="dxa"/>
            <w:vAlign w:val="bottom"/>
          </w:tcPr>
          <w:p>
            <w:pPr>
              <w:spacing w:after="0"/>
              <w:rPr>
                <w:sz w:val="11"/>
                <w:szCs w:val="11"/>
                <w:color w:val="auto"/>
              </w:rPr>
            </w:pPr>
          </w:p>
        </w:tc>
      </w:tr>
      <w:tr>
        <w:trPr>
          <w:trHeight w:val="188"/>
        </w:trPr>
        <w:tc>
          <w:tcPr>
            <w:tcW w:w="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0" w:type="dxa"/>
            <w:vAlign w:val="bottom"/>
            <w:gridSpan w:val="2"/>
          </w:tcPr>
          <w:p>
            <w:pPr>
              <w:jc w:val="center"/>
              <w:ind w:right="210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451"/>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40" w:type="dxa"/>
            <w:vAlign w:val="bottom"/>
            <w:gridSpan w:val="3"/>
          </w:tcPr>
          <w:p>
            <w:pPr>
              <w:jc w:val="center"/>
              <w:ind w:left="838"/>
              <w:spacing w:after="0"/>
              <w:rPr>
                <w:sz w:val="20"/>
                <w:szCs w:val="20"/>
                <w:color w:val="auto"/>
              </w:rPr>
            </w:pPr>
            <w:r>
              <w:rPr>
                <w:rFonts w:ascii="Times New Roman" w:cs="Times New Roman" w:eastAsia="Times New Roman" w:hAnsi="Times New Roman"/>
                <w:sz w:val="18"/>
                <w:szCs w:val="18"/>
                <w:b w:val="1"/>
                <w:bCs w:val="1"/>
                <w:color w:val="auto"/>
                <w:w w:val="99"/>
              </w:rPr>
              <w:t>390 Interlocken Crescent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40" w:type="dxa"/>
            <w:vAlign w:val="bottom"/>
            <w:tcBorders>
              <w:bottom w:val="single" w:sz="8" w:color="auto"/>
            </w:tcBorders>
            <w:gridSpan w:val="3"/>
          </w:tcPr>
          <w:p>
            <w:pPr>
              <w:ind w:left="1440"/>
              <w:spacing w:after="0"/>
              <w:rPr>
                <w:sz w:val="20"/>
                <w:szCs w:val="20"/>
                <w:color w:val="auto"/>
              </w:rPr>
            </w:pPr>
            <w:r>
              <w:rPr>
                <w:rFonts w:ascii="Times New Roman" w:cs="Times New Roman" w:eastAsia="Times New Roman" w:hAnsi="Times New Roman"/>
                <w:sz w:val="18"/>
                <w:szCs w:val="18"/>
                <w:b w:val="1"/>
                <w:bCs w:val="1"/>
                <w:color w:val="auto"/>
              </w:rPr>
              <w:t>Broomfield, Colorado</w:t>
            </w:r>
          </w:p>
        </w:tc>
        <w:tc>
          <w:tcPr>
            <w:tcW w:w="920" w:type="dxa"/>
            <w:vAlign w:val="bottom"/>
            <w:tcBorders>
              <w:bottom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Times New Roman" w:cs="Times New Roman" w:eastAsia="Times New Roman" w:hAnsi="Times New Roman"/>
                <w:sz w:val="18"/>
                <w:szCs w:val="18"/>
                <w:b w:val="1"/>
                <w:bCs w:val="1"/>
                <w:color w:val="auto"/>
              </w:rPr>
              <w:t>80021</w:t>
            </w:r>
          </w:p>
        </w:tc>
        <w:tc>
          <w:tcPr>
            <w:tcW w:w="860" w:type="dxa"/>
            <w:vAlign w:val="bottom"/>
          </w:tcPr>
          <w:p>
            <w:pPr>
              <w:spacing w:after="0"/>
              <w:rPr>
                <w:sz w:val="20"/>
                <w:szCs w:val="20"/>
                <w:color w:val="auto"/>
              </w:rPr>
            </w:pPr>
          </w:p>
        </w:tc>
      </w:tr>
      <w:tr>
        <w:trPr>
          <w:trHeight w:val="182"/>
        </w:trPr>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4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9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Times New Roman" w:cs="Times New Roman" w:eastAsia="Times New Roman" w:hAnsi="Times New Roman"/>
                <w:sz w:val="14"/>
                <w:szCs w:val="14"/>
                <w:color w:val="auto"/>
              </w:rPr>
              <w:t>(Zip Code)</w:t>
            </w:r>
          </w:p>
        </w:tc>
        <w:tc>
          <w:tcPr>
            <w:tcW w:w="860" w:type="dxa"/>
            <w:vAlign w:val="bottom"/>
          </w:tcPr>
          <w:p>
            <w:pPr>
              <w:spacing w:after="0"/>
              <w:rPr>
                <w:sz w:val="15"/>
                <w:szCs w:val="15"/>
                <w:color w:val="auto"/>
              </w:rPr>
            </w:pPr>
          </w:p>
        </w:tc>
      </w:tr>
      <w:tr>
        <w:trPr>
          <w:trHeight w:val="554"/>
        </w:trPr>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520" w:type="dxa"/>
            <w:vAlign w:val="bottom"/>
          </w:tcPr>
          <w:p>
            <w:pPr>
              <w:spacing w:after="0"/>
              <w:rPr>
                <w:sz w:val="21"/>
                <w:szCs w:val="21"/>
                <w:color w:val="auto"/>
              </w:rPr>
            </w:pPr>
          </w:p>
        </w:tc>
        <w:tc>
          <w:tcPr>
            <w:tcW w:w="4140" w:type="dxa"/>
            <w:vAlign w:val="bottom"/>
            <w:gridSpan w:val="6"/>
          </w:tcPr>
          <w:p>
            <w:pPr>
              <w:jc w:val="center"/>
              <w:ind w:left="2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0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419"/>
        </w:trPr>
        <w:tc>
          <w:tcPr>
            <w:tcW w:w="472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21"/>
        </w:trPr>
        <w:tc>
          <w:tcPr>
            <w:tcW w:w="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gridSpan w:val="2"/>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360" w:type="dxa"/>
            <w:vAlign w:val="bottom"/>
            <w:tcBorders>
              <w:bottom w:val="single" w:sz="8" w:color="auto"/>
            </w:tcBorders>
            <w:gridSpan w:val="3"/>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700" w:type="dxa"/>
            <w:vAlign w:val="bottom"/>
            <w:tcBorders>
              <w:bottom w:val="single" w:sz="8" w:color="auto"/>
            </w:tcBorders>
            <w:gridSpan w:val="3"/>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Trading Symbol</w:t>
            </w:r>
          </w:p>
        </w:tc>
        <w:tc>
          <w:tcPr>
            <w:tcW w:w="460" w:type="dxa"/>
            <w:vAlign w:val="bottom"/>
            <w:tcBorders>
              <w:bottom w:val="single" w:sz="8" w:color="auto"/>
            </w:tcBorders>
          </w:tcPr>
          <w:p>
            <w:pPr>
              <w:spacing w:after="0"/>
              <w:rPr>
                <w:sz w:val="19"/>
                <w:szCs w:val="19"/>
                <w:color w:val="auto"/>
              </w:rPr>
            </w:pPr>
          </w:p>
        </w:tc>
        <w:tc>
          <w:tcPr>
            <w:tcW w:w="3700" w:type="dxa"/>
            <w:vAlign w:val="bottom"/>
            <w:tcBorders>
              <w:bottom w:val="single" w:sz="8" w:color="auto"/>
              <w:right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412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$0.01 par value</w:t>
            </w:r>
          </w:p>
        </w:tc>
        <w:tc>
          <w:tcPr>
            <w:tcW w:w="540" w:type="dxa"/>
            <w:vAlign w:val="bottom"/>
            <w:tcBorders>
              <w:bottom w:val="single" w:sz="8" w:color="auto"/>
            </w:tcBorders>
          </w:tcPr>
          <w:p>
            <w:pPr>
              <w:spacing w:after="0"/>
              <w:rPr>
                <w:sz w:val="19"/>
                <w:szCs w:val="19"/>
                <w:color w:val="auto"/>
              </w:rPr>
            </w:pPr>
          </w:p>
        </w:tc>
        <w:tc>
          <w:tcPr>
            <w:tcW w:w="2360" w:type="dxa"/>
            <w:vAlign w:val="bottom"/>
            <w:tcBorders>
              <w:bottom w:val="single" w:sz="8" w:color="auto"/>
              <w:right w:val="single" w:sz="8" w:color="auto"/>
            </w:tcBorders>
            <w:gridSpan w:val="3"/>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306"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56" w:lineRule="exact"/>
        <w:rPr>
          <w:sz w:val="24"/>
          <w:szCs w:val="24"/>
          <w:color w:val="auto"/>
        </w:rPr>
      </w:pPr>
    </w:p>
    <w:p>
      <w:pPr>
        <w:jc w:val="both"/>
        <w:spacing w:after="0" w:line="24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w:t>
      </w:r>
    </w:p>
    <w:p>
      <w:pPr>
        <w:spacing w:after="0" w:line="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6" w:lineRule="exact"/>
        <w:rPr>
          <w:sz w:val="24"/>
          <w:szCs w:val="24"/>
          <w:color w:val="auto"/>
        </w:rPr>
      </w:pPr>
    </w:p>
    <w:tbl>
      <w:tblPr>
        <w:tblLayout w:type="fixed"/>
        <w:tblInd w:w="20" w:type="dxa"/>
        <w:tblCellMar>
          <w:top w:w="0" w:type="dxa"/>
          <w:left w:w="0" w:type="dxa"/>
          <w:bottom w:w="0" w:type="dxa"/>
          <w:right w:w="0" w:type="dxa"/>
        </w:tblCellMar>
      </w:tblPr>
      <w:tr>
        <w:trPr>
          <w:trHeight w:val="338"/>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Accelerated filer</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6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440"/>
              <w:spacing w:after="0" w:line="221" w:lineRule="exact"/>
              <w:rPr>
                <w:sz w:val="20"/>
                <w:szCs w:val="20"/>
                <w:color w:val="auto"/>
              </w:rPr>
            </w:pPr>
            <w:r>
              <w:rPr>
                <w:rFonts w:ascii="MS PGothic" w:cs="MS PGothic" w:eastAsia="MS PGothic" w:hAnsi="MS PGothic"/>
                <w:sz w:val="22"/>
                <w:szCs w:val="22"/>
                <w:color w:val="auto"/>
              </w:rPr>
              <w:t>☐</w:t>
            </w: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78"/>
        </w:trPr>
        <w:tc>
          <w:tcPr>
            <w:tcW w:w="20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96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40" w:type="dxa"/>
            <w:vAlign w:val="bottom"/>
          </w:tcPr>
          <w:p>
            <w:pPr>
              <w:ind w:left="440"/>
              <w:spacing w:after="0" w:line="221" w:lineRule="exact"/>
              <w:rPr>
                <w:sz w:val="20"/>
                <w:szCs w:val="20"/>
                <w:color w:val="auto"/>
              </w:rPr>
            </w:pPr>
            <w:r>
              <w:rPr>
                <w:rFonts w:ascii="MS PGothic" w:cs="MS PGothic" w:eastAsia="MS PGothic" w:hAnsi="MS PGothic"/>
                <w:sz w:val="22"/>
                <w:szCs w:val="22"/>
                <w:color w:val="auto"/>
                <w:w w:val="81"/>
              </w:rPr>
              <w:t>☐</w:t>
            </w:r>
          </w:p>
        </w:tc>
      </w:tr>
    </w:tbl>
    <w:p>
      <w:pPr>
        <w:spacing w:after="0" w:line="56" w:lineRule="exact"/>
        <w:rPr>
          <w:sz w:val="24"/>
          <w:szCs w:val="24"/>
          <w:color w:val="auto"/>
        </w:rPr>
      </w:pPr>
    </w:p>
    <w:p>
      <w:pPr>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55" w:lineRule="exact"/>
        <w:rPr>
          <w:sz w:val="24"/>
          <w:szCs w:val="24"/>
          <w:color w:val="auto"/>
        </w:rPr>
      </w:pPr>
    </w:p>
    <w:p>
      <w:pPr>
        <w:ind w:right="1680"/>
        <w:spacing w:after="0" w:line="321"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As of December 5, 2022, 40,323,914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7" w:right="339" w:bottom="758"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20" w:type="dxa"/>
            <w:vAlign w:val="bottom"/>
            <w:gridSpan w:val="9"/>
          </w:tcPr>
          <w:p>
            <w:pPr>
              <w:jc w:val="center"/>
              <w:ind w:right="274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580"/>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80" w:type="dxa"/>
            <w:vAlign w:val="bottom"/>
            <w:gridSpan w:val="16"/>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540" w:type="dxa"/>
            <w:vAlign w:val="bottom"/>
            <w:tcBorders>
              <w:bottom w:val="single" w:sz="8" w:color="auto"/>
            </w:tcBorders>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Page</w:t>
            </w:r>
          </w:p>
        </w:tc>
      </w:tr>
      <w:tr>
        <w:trPr>
          <w:trHeight w:val="250"/>
        </w:trPr>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9"/>
        </w:trPr>
        <w:tc>
          <w:tcPr>
            <w:tcW w:w="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Item 1.</w:t>
            </w:r>
          </w:p>
        </w:tc>
        <w:tc>
          <w:tcPr>
            <w:tcW w:w="9880" w:type="dxa"/>
            <w:vAlign w:val="bottom"/>
            <w:gridSpan w:val="16"/>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820" w:type="dxa"/>
            <w:vAlign w:val="bottom"/>
          </w:tcPr>
          <w:p>
            <w:pPr>
              <w:spacing w:after="0"/>
              <w:rPr>
                <w:sz w:val="16"/>
                <w:szCs w:val="16"/>
                <w:color w:val="auto"/>
              </w:rPr>
            </w:pP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Balance Sheets as of October 31, 2022, July 31, 2022 and October 31, 2021</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2</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Operations for the Three Months Ended October 31, 2022 and 2021</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3</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Comprehensive Loss for the Three Months Ended October 31, 2022 and 2021</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80" w:type="dxa"/>
            <w:vAlign w:val="bottom"/>
            <w:tcBorders>
              <w:top w:val="single" w:sz="8" w:color="0000FF"/>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Stockholders’ Equity for the Three Months Ended October 31, 2022 and 2021</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5</w:t>
            </w: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spacing w:after="0"/>
              <w:rPr>
                <w:sz w:val="16"/>
                <w:szCs w:val="16"/>
                <w:color w:val="auto"/>
              </w:rPr>
            </w:pP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Consolidated Condensed Statements of Cash Flows for the Three Months Ended October 31, 2022 and 2021</w:t>
            </w:r>
          </w:p>
        </w:tc>
        <w:tc>
          <w:tcPr>
            <w:tcW w:w="5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6</w:t>
            </w: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spacing w:after="0"/>
              <w:rPr>
                <w:sz w:val="16"/>
                <w:szCs w:val="16"/>
                <w:color w:val="auto"/>
              </w:rPr>
            </w:pP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Notes to Consolidated Condensed Financial Statements</w:t>
            </w:r>
          </w:p>
        </w:tc>
        <w:tc>
          <w:tcPr>
            <w:tcW w:w="5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7</w:t>
            </w: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21</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34</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29"/>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80" w:type="dxa"/>
            <w:vAlign w:val="bottom"/>
            <w:gridSpan w:val="16"/>
          </w:tcPr>
          <w:p>
            <w:pPr>
              <w:ind w:left="14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8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r>
      <w:tr>
        <w:trPr>
          <w:trHeight w:val="20"/>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1A.</w:t>
            </w: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3.</w:t>
            </w: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shd w:val="clear" w:color="auto" w:fill="CCEEFF"/>
          </w:tcPr>
          <w:p>
            <w:pPr>
              <w:spacing w:after="0"/>
              <w:rPr>
                <w:sz w:val="16"/>
                <w:szCs w:val="16"/>
                <w:color w:val="auto"/>
              </w:rPr>
            </w:pPr>
          </w:p>
        </w:tc>
      </w:tr>
      <w:tr>
        <w:trPr>
          <w:trHeight w:val="21"/>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4.</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r>
      <w:tr>
        <w:trPr>
          <w:trHeight w:val="21"/>
        </w:trPr>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8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5.</w:t>
            </w:r>
          </w:p>
        </w:tc>
        <w:tc>
          <w:tcPr>
            <w:tcW w:w="9880" w:type="dxa"/>
            <w:vAlign w:val="bottom"/>
            <w:gridSpan w:val="16"/>
            <w:shd w:val="clear" w:color="auto" w:fill="CCEEFF"/>
          </w:tcPr>
          <w:p>
            <w:pPr>
              <w:ind w:left="14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52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shd w:val="clear" w:color="auto" w:fill="CCEEFF"/>
          </w:tcPr>
          <w:p>
            <w:pPr>
              <w:spacing w:after="0"/>
              <w:rPr>
                <w:sz w:val="16"/>
                <w:szCs w:val="16"/>
                <w:color w:val="auto"/>
              </w:rPr>
            </w:pPr>
          </w:p>
        </w:tc>
      </w:tr>
      <w:tr>
        <w:trPr>
          <w:trHeight w:val="20"/>
        </w:trPr>
        <w:tc>
          <w:tcPr>
            <w:tcW w:w="8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8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Item 6.</w:t>
            </w:r>
          </w:p>
        </w:tc>
        <w:tc>
          <w:tcPr>
            <w:tcW w:w="9880" w:type="dxa"/>
            <w:vAlign w:val="bottom"/>
            <w:gridSpan w:val="16"/>
          </w:tcPr>
          <w:p>
            <w:pPr>
              <w:ind w:left="1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r>
      <w:tr>
        <w:trPr>
          <w:trHeight w:val="1128"/>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40" w:type="dxa"/>
            <w:vAlign w:val="bottom"/>
            <w:gridSpan w:val="9"/>
          </w:tcPr>
          <w:p>
            <w:pPr>
              <w:jc w:val="right"/>
              <w:ind w:right="1740"/>
              <w:spacing w:after="0"/>
              <w:rPr>
                <w:sz w:val="20"/>
                <w:szCs w:val="20"/>
                <w:color w:val="auto"/>
              </w:rPr>
            </w:pPr>
            <w:r>
              <w:rPr>
                <w:rFonts w:ascii="Times New Roman" w:cs="Times New Roman" w:eastAsia="Times New Roman" w:hAnsi="Times New Roman"/>
                <w:sz w:val="18"/>
                <w:szCs w:val="18"/>
                <w:color w:val="auto"/>
              </w:rPr>
              <w:t>1</w:t>
            </w: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320" w:type="dxa"/>
            <w:vAlign w:val="bottom"/>
          </w:tcPr>
          <w:p>
            <w:pPr>
              <w:spacing w:after="0"/>
              <w:rPr>
                <w:sz w:val="16"/>
                <w:szCs w:val="16"/>
                <w:color w:val="auto"/>
              </w:rPr>
            </w:pPr>
          </w:p>
        </w:tc>
        <w:tc>
          <w:tcPr>
            <w:tcW w:w="144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60" w:type="dxa"/>
            <w:vAlign w:val="bottom"/>
          </w:tcPr>
          <w:p>
            <w:pPr>
              <w:spacing w:after="0"/>
              <w:rPr>
                <w:sz w:val="16"/>
                <w:szCs w:val="16"/>
                <w:color w:val="auto"/>
              </w:rPr>
            </w:pPr>
          </w:p>
        </w:tc>
        <w:tc>
          <w:tcPr>
            <w:tcW w:w="144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3"/>
        </w:trPr>
        <w:tc>
          <w:tcPr>
            <w:tcW w:w="5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1,180,942</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1,107,427</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1,468,380</w:t>
            </w: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20,121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18,680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14,482</w:t>
            </w:r>
          </w:p>
        </w:tc>
      </w:tr>
      <w:tr>
        <w:trPr>
          <w:trHeight w:val="229"/>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Trade receivables, net</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118,491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383,425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108,988</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Inventories, net</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139,926</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108,723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103,697</w:t>
            </w: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162,187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173,277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82,307</w:t>
            </w:r>
          </w:p>
        </w:tc>
      </w:tr>
      <w:tr>
        <w:trPr>
          <w:trHeight w:val="223"/>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1,621,667</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1,791,532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1,777,854</w:t>
            </w:r>
          </w:p>
        </w:tc>
      </w:tr>
      <w:tr>
        <w:trPr>
          <w:trHeight w:val="229"/>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 (Note 7)</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2,313,061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2,118,052</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2,062,322</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95,608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95,983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98,833</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 net (Note 7)</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1,688,731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1,754,928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1,790,531</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307,410</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314,058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319,250</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192,230</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192,070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204,476</w:t>
            </w:r>
          </w:p>
        </w:tc>
      </w:tr>
      <w:tr>
        <w:trPr>
          <w:trHeight w:val="229"/>
        </w:trPr>
        <w:tc>
          <w:tcPr>
            <w:tcW w:w="5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62,159</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51,405</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37,285</w:t>
            </w:r>
          </w:p>
        </w:tc>
      </w:tr>
      <w:tr>
        <w:trPr>
          <w:trHeight w:val="248"/>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6,280,866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6,318,028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6,290,551</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29"/>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 (Note 7)</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1,190,522</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942,830</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1,109,652</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84,372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104,275</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43,377</w:t>
            </w:r>
          </w:p>
        </w:tc>
      </w:tr>
      <w:tr>
        <w:trPr>
          <w:trHeight w:val="229"/>
        </w:trPr>
        <w:tc>
          <w:tcPr>
            <w:tcW w:w="5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Long-term debt due within one year (Note 5)</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67,811</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63,749</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114,795</w:t>
            </w:r>
          </w:p>
        </w:tc>
      </w:tr>
      <w:tr>
        <w:trPr>
          <w:trHeight w:val="223"/>
        </w:trPr>
        <w:tc>
          <w:tcPr>
            <w:tcW w:w="59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1,342,705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1,110,854</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1,267,824</w:t>
            </w:r>
          </w:p>
        </w:tc>
      </w:tr>
      <w:tr>
        <w:trPr>
          <w:trHeight w:val="229"/>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 (Note 5)</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2,769,698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2,670,300</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2,704,583</w:t>
            </w:r>
          </w:p>
        </w:tc>
      </w:tr>
      <w:tr>
        <w:trPr>
          <w:trHeight w:val="230"/>
        </w:trPr>
        <w:tc>
          <w:tcPr>
            <w:tcW w:w="5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176,585</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174,567</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192,328</w:t>
            </w:r>
          </w:p>
        </w:tc>
      </w:tr>
      <w:tr>
        <w:trPr>
          <w:trHeight w:val="230"/>
        </w:trPr>
        <w:tc>
          <w:tcPr>
            <w:tcW w:w="5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234,301</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246,359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243,307</w:t>
            </w:r>
          </w:p>
        </w:tc>
      </w:tr>
      <w:tr>
        <w:trPr>
          <w:trHeight w:val="230"/>
        </w:trPr>
        <w:tc>
          <w:tcPr>
            <w:tcW w:w="5940" w:type="dxa"/>
            <w:vAlign w:val="bottom"/>
            <w:tcBorders>
              <w:bottom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205,859</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268,464</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216,049</w:t>
            </w:r>
          </w:p>
        </w:tc>
      </w:tr>
      <w:tr>
        <w:trPr>
          <w:trHeight w:val="223"/>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4,729,148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4,470,544</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4,624,091</w:t>
            </w:r>
          </w:p>
        </w:tc>
      </w:tr>
      <w:tr>
        <w:trPr>
          <w:trHeight w:val="230"/>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175"/>
        </w:trPr>
        <w:tc>
          <w:tcPr>
            <w:tcW w:w="59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25,000 shares authorized, no shares issued</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and outstanding</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59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100,000 shares authorized, 46,789, 46,744</w:t>
            </w:r>
          </w:p>
        </w:tc>
        <w:tc>
          <w:tcPr>
            <w:tcW w:w="3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43"/>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and 46,610 shares issued, respectively</w:t>
            </w:r>
          </w:p>
        </w:tc>
        <w:tc>
          <w:tcPr>
            <w:tcW w:w="340" w:type="dxa"/>
            <w:vAlign w:val="bottom"/>
          </w:tcPr>
          <w:p>
            <w:pPr>
              <w:spacing w:after="0"/>
              <w:rPr>
                <w:sz w:val="21"/>
                <w:szCs w:val="21"/>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468</w:t>
            </w:r>
          </w:p>
        </w:tc>
        <w:tc>
          <w:tcPr>
            <w:tcW w:w="320" w:type="dxa"/>
            <w:vAlign w:val="bottom"/>
          </w:tcPr>
          <w:p>
            <w:pPr>
              <w:spacing w:after="0"/>
              <w:rPr>
                <w:sz w:val="21"/>
                <w:szCs w:val="21"/>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467</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175"/>
        </w:trPr>
        <w:tc>
          <w:tcPr>
            <w:tcW w:w="59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Exchangeable shares, $0.01 par value, 0, 3 and 34 shares issued and</w:t>
            </w:r>
          </w:p>
        </w:tc>
        <w:tc>
          <w:tcPr>
            <w:tcW w:w="3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respectively (Note 4)</w:t>
            </w:r>
          </w:p>
        </w:tc>
        <w:tc>
          <w:tcPr>
            <w:tcW w:w="34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1,106,813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1,184,577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1,192,901</w:t>
            </w:r>
          </w:p>
        </w:tc>
      </w:tr>
      <w:tr>
        <w:trPr>
          <w:trHeight w:val="230"/>
        </w:trPr>
        <w:tc>
          <w:tcPr>
            <w:tcW w:w="5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3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10,923</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44,689</w:t>
            </w:r>
          </w:p>
        </w:tc>
      </w:tr>
      <w:tr>
        <w:trPr>
          <w:trHeight w:val="230"/>
        </w:trPr>
        <w:tc>
          <w:tcPr>
            <w:tcW w:w="5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705,923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895,889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598,826</w:t>
            </w:r>
          </w:p>
        </w:tc>
      </w:tr>
      <w:tr>
        <w:trPr>
          <w:trHeight w:val="229"/>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Treasury stock, at cost, 6,466, 6,466 and 6,161 shares, respectively (Note 11)</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(479,417)</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(479,417)</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(404,411)</w:t>
            </w:r>
          </w:p>
        </w:tc>
      </w:tr>
      <w:tr>
        <w:trPr>
          <w:trHeight w:val="223"/>
        </w:trPr>
        <w:tc>
          <w:tcPr>
            <w:tcW w:w="59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Vail Resorts, Inc. stockholders’ equity</w:t>
            </w:r>
          </w:p>
        </w:tc>
        <w:tc>
          <w:tcPr>
            <w:tcW w:w="340" w:type="dxa"/>
            <w:vAlign w:val="bottom"/>
          </w:tcPr>
          <w:p>
            <w:pPr>
              <w:spacing w:after="0"/>
              <w:rPr>
                <w:sz w:val="19"/>
                <w:szCs w:val="19"/>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1,264,879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1,612,439</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1,432,471</w:t>
            </w:r>
          </w:p>
        </w:tc>
      </w:tr>
      <w:tr>
        <w:trPr>
          <w:trHeight w:val="230"/>
        </w:trPr>
        <w:tc>
          <w:tcPr>
            <w:tcW w:w="59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286,839</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235,045</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233,989</w:t>
            </w:r>
          </w:p>
        </w:tc>
      </w:tr>
      <w:tr>
        <w:trPr>
          <w:trHeight w:val="223"/>
        </w:trPr>
        <w:tc>
          <w:tcPr>
            <w:tcW w:w="594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1,551,718</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1,847,484</w:t>
            </w: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1,666,460</w:t>
            </w:r>
          </w:p>
        </w:tc>
      </w:tr>
      <w:tr>
        <w:trPr>
          <w:trHeight w:val="248"/>
        </w:trPr>
        <w:tc>
          <w:tcPr>
            <w:tcW w:w="59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6,280,866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6,318,028</w:t>
            </w:r>
          </w:p>
        </w:tc>
        <w:tc>
          <w:tcPr>
            <w:tcW w:w="2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6,290,551</w:t>
            </w: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528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Operations</w:t>
      </w:r>
    </w:p>
    <w:p>
      <w:pPr>
        <w:spacing w:after="0" w:line="9"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9"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services and other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210,386</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121,860</w:t>
            </w:r>
          </w:p>
        </w:tc>
      </w:tr>
      <w:tr>
        <w:trPr>
          <w:trHeight w:val="229"/>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68,948</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53,401</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Resort net revenue</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279,334</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175,261</w:t>
            </w:r>
          </w:p>
        </w:tc>
      </w:tr>
      <w:tr>
        <w:trPr>
          <w:trHeight w:val="229"/>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113</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78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279,447</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175,576</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 (exclusive of depreciation and amortization shown separately below):</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and Lodging operating expense</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242,286</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183,725</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Mountain and Lodging retail and dining cost of products sold</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35,085</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24,229</w:t>
            </w:r>
          </w:p>
        </w:tc>
      </w:tr>
      <w:tr>
        <w:trPr>
          <w:trHeight w:val="229"/>
        </w:trPr>
        <w:tc>
          <w:tcPr>
            <w:tcW w:w="7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98,799</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77,234</w:t>
            </w:r>
          </w:p>
        </w:tc>
      </w:tr>
      <w:tr>
        <w:trPr>
          <w:trHeight w:val="223"/>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Resort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376,170</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285,188</w:t>
            </w:r>
          </w:p>
        </w:tc>
      </w:tr>
      <w:tr>
        <w:trPr>
          <w:trHeight w:val="229"/>
        </w:trPr>
        <w:tc>
          <w:tcPr>
            <w:tcW w:w="7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1,382</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3"/>
        </w:trPr>
        <w:tc>
          <w:tcPr>
            <w:tcW w:w="78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segment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377,552</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286,658</w:t>
            </w:r>
          </w:p>
        </w:tc>
      </w:tr>
      <w:tr>
        <w:trPr>
          <w:trHeight w:val="229"/>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 income: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(64,614)</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(61,489)</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 (Note 8)</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78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8,867</w:t>
            </w:r>
          </w:p>
        </w:tc>
      </w:tr>
      <w:tr>
        <w:trPr>
          <w:trHeight w:val="223"/>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(163,361)</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(165,673)</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346</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2,886</w:t>
            </w: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30"/>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(loss) gain on intercompany loans (Note 5)</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29"/>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(39,545)</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(201,566)</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(202,374)</w:t>
            </w:r>
          </w:p>
        </w:tc>
      </w:tr>
      <w:tr>
        <w:trPr>
          <w:trHeight w:val="229"/>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58,006</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59,853</w:t>
            </w:r>
          </w:p>
        </w:tc>
      </w:tr>
      <w:tr>
        <w:trPr>
          <w:trHeight w:val="22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(143,560)</w:t>
            </w:r>
          </w:p>
        </w:tc>
        <w:tc>
          <w:tcPr>
            <w:tcW w:w="4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(142,521)</w:t>
            </w:r>
          </w:p>
        </w:tc>
      </w:tr>
      <w:tr>
        <w:trPr>
          <w:trHeight w:val="230"/>
        </w:trPr>
        <w:tc>
          <w:tcPr>
            <w:tcW w:w="78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6,589</w:t>
            </w:r>
          </w:p>
        </w:tc>
        <w:tc>
          <w:tcPr>
            <w:tcW w:w="4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23"/>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(136,971)</w:t>
            </w:r>
          </w:p>
        </w:tc>
        <w:tc>
          <w:tcPr>
            <w:tcW w:w="4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(139,332)</w:t>
            </w:r>
          </w:p>
        </w:tc>
      </w:tr>
      <w:tr>
        <w:trPr>
          <w:trHeight w:val="20"/>
        </w:trPr>
        <w:tc>
          <w:tcPr>
            <w:tcW w:w="7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24"/>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amounts (Note 4):</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loss per share attributable to Vail Resorts, Inc.</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0"/>
        </w:trPr>
        <w:tc>
          <w:tcPr>
            <w:tcW w:w="7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net loss per share attributable to Vail Resorts, Inc.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46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34"/>
        </w:trPr>
        <w:tc>
          <w:tcPr>
            <w:tcW w:w="7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per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1.91</w:t>
            </w:r>
          </w:p>
        </w:tc>
        <w:tc>
          <w:tcPr>
            <w:tcW w:w="4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0.88</w:t>
            </w: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Comprehensive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40" w:type="dxa"/>
            <w:vAlign w:val="bottom"/>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82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6"/>
        </w:trPr>
        <w:tc>
          <w:tcPr>
            <w:tcW w:w="8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8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23"/>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(143,560)</w:t>
            </w:r>
          </w:p>
        </w:tc>
        <w:tc>
          <w:tcPr>
            <w:tcW w:w="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(142,521)</w:t>
            </w:r>
          </w:p>
        </w:tc>
      </w:tr>
      <w:tr>
        <w:trPr>
          <w:trHeight w:val="230"/>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(117,808)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15,137</w:t>
            </w:r>
          </w:p>
        </w:tc>
      </w:tr>
      <w:tr>
        <w:trPr>
          <w:trHeight w:val="229"/>
        </w:trPr>
        <w:tc>
          <w:tcPr>
            <w:tcW w:w="82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estimated fair value of hedging instruments, net of tax</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8,007</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r>
      <w:tr>
        <w:trPr>
          <w:trHeight w:val="223"/>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(253,361)</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(123,039)</w:t>
            </w:r>
          </w:p>
        </w:tc>
      </w:tr>
      <w:tr>
        <w:trPr>
          <w:trHeight w:val="229"/>
        </w:trPr>
        <w:tc>
          <w:tcPr>
            <w:tcW w:w="828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36,559</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r>
      <w:tr>
        <w:trPr>
          <w:trHeight w:val="223"/>
        </w:trPr>
        <w:tc>
          <w:tcPr>
            <w:tcW w:w="8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Comprehensive loss attributable to Vail Resorts, Inc.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(216,802)</w:t>
            </w:r>
          </w:p>
        </w:tc>
        <w:tc>
          <w:tcPr>
            <w:tcW w:w="3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(122,442)</w:t>
            </w:r>
          </w:p>
        </w:tc>
      </w:tr>
      <w:tr>
        <w:trPr>
          <w:trHeight w:val="20"/>
        </w:trPr>
        <w:tc>
          <w:tcPr>
            <w:tcW w:w="8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130"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21"/>
              <w:spacing w:after="0"/>
              <w:rPr>
                <w:sz w:val="20"/>
                <w:szCs w:val="20"/>
                <w:color w:val="auto"/>
              </w:rPr>
            </w:pPr>
            <w:r>
              <w:rPr>
                <w:rFonts w:ascii="Times New Roman" w:cs="Times New Roman" w:eastAsia="Times New Roman" w:hAnsi="Times New Roman"/>
                <w:sz w:val="13"/>
                <w:szCs w:val="13"/>
                <w:b w:val="1"/>
                <w:bCs w:val="1"/>
                <w:color w:val="auto"/>
                <w:w w:val="92"/>
              </w:rPr>
              <w:t>Total Vail</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22"/>
        </w:trPr>
        <w:tc>
          <w:tcPr>
            <w:tcW w:w="29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21"/>
              <w:spacing w:after="0" w:line="122"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jc w:val="center"/>
              <w:ind w:right="41"/>
              <w:spacing w:after="0" w:line="122" w:lineRule="exact"/>
              <w:rPr>
                <w:sz w:val="20"/>
                <w:szCs w:val="20"/>
                <w:color w:val="auto"/>
              </w:rPr>
            </w:pPr>
            <w:r>
              <w:rPr>
                <w:rFonts w:ascii="Times New Roman" w:cs="Times New Roman" w:eastAsia="Times New Roman" w:hAnsi="Times New Roman"/>
                <w:sz w:val="13"/>
                <w:szCs w:val="13"/>
                <w:b w:val="1"/>
                <w:bCs w:val="1"/>
                <w:color w:val="auto"/>
                <w:w w:val="94"/>
              </w:rPr>
              <w:t>Resorts, Inc.</w:t>
            </w: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32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Additional Paid</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60" w:type="dxa"/>
            <w:vAlign w:val="bottom"/>
          </w:tcPr>
          <w:p>
            <w:pPr>
              <w:spacing w:after="0"/>
              <w:rPr>
                <w:sz w:val="11"/>
                <w:szCs w:val="11"/>
                <w:color w:val="auto"/>
              </w:rPr>
            </w:pPr>
          </w:p>
        </w:tc>
        <w:tc>
          <w:tcPr>
            <w:tcW w:w="760" w:type="dxa"/>
            <w:vAlign w:val="bottom"/>
          </w:tcPr>
          <w:p>
            <w:pPr>
              <w:jc w:val="right"/>
              <w:ind w:right="141"/>
              <w:spacing w:after="0" w:line="135" w:lineRule="exact"/>
              <w:rPr>
                <w:sz w:val="20"/>
                <w:szCs w:val="20"/>
                <w:color w:val="auto"/>
              </w:rPr>
            </w:pPr>
            <w:r>
              <w:rPr>
                <w:rFonts w:ascii="Times New Roman" w:cs="Times New Roman" w:eastAsia="Times New Roman" w:hAnsi="Times New Roman"/>
                <w:sz w:val="13"/>
                <w:szCs w:val="13"/>
                <w:b w:val="1"/>
                <w:bCs w:val="1"/>
                <w:color w:val="auto"/>
              </w:rPr>
              <w:t>Retained</w:t>
            </w: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w w:val="98"/>
              </w:rPr>
              <w:t>Treasury Stock</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9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Noncontrolling</w:t>
            </w:r>
          </w:p>
        </w:tc>
        <w:tc>
          <w:tcPr>
            <w:tcW w:w="94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Stockholders’</w:t>
            </w:r>
          </w:p>
        </w:tc>
        <w:tc>
          <w:tcPr>
            <w:tcW w:w="0" w:type="dxa"/>
            <w:vAlign w:val="bottom"/>
          </w:tcPr>
          <w:p>
            <w:pPr>
              <w:spacing w:after="0"/>
              <w:rPr>
                <w:sz w:val="1"/>
                <w:szCs w:val="1"/>
                <w:color w:val="auto"/>
              </w:rPr>
            </w:pPr>
          </w:p>
        </w:tc>
      </w:tr>
      <w:tr>
        <w:trPr>
          <w:trHeight w:val="171"/>
        </w:trPr>
        <w:tc>
          <w:tcPr>
            <w:tcW w:w="2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in Capital</w:t>
            </w:r>
          </w:p>
        </w:tc>
        <w:tc>
          <w:tcPr>
            <w:tcW w:w="9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3"/>
                <w:szCs w:val="13"/>
                <w:b w:val="1"/>
                <w:bCs w:val="1"/>
                <w:color w:val="auto"/>
                <w:w w:val="95"/>
              </w:rPr>
              <w:t>Equity</w:t>
            </w:r>
          </w:p>
        </w:tc>
        <w:tc>
          <w:tcPr>
            <w:tcW w:w="0" w:type="dxa"/>
            <w:vAlign w:val="bottom"/>
          </w:tcPr>
          <w:p>
            <w:pPr>
              <w:spacing w:after="0"/>
              <w:rPr>
                <w:sz w:val="1"/>
                <w:szCs w:val="1"/>
                <w:color w:val="auto"/>
              </w:rPr>
            </w:pPr>
          </w:p>
        </w:tc>
      </w:tr>
      <w:tr>
        <w:trPr>
          <w:trHeight w:val="169"/>
        </w:trPr>
        <w:tc>
          <w:tcPr>
            <w:tcW w:w="29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3"/>
                <w:szCs w:val="13"/>
                <w:b w:val="1"/>
                <w:bCs w:val="1"/>
                <w:color w:val="auto"/>
                <w:w w:val="96"/>
              </w:rPr>
              <w:t>Vail Resorts</w:t>
            </w:r>
          </w:p>
        </w:tc>
        <w:tc>
          <w:tcPr>
            <w:tcW w:w="8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w w:val="95"/>
              </w:rPr>
              <w:t>Exchangeable</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31, 2021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1,196,993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773,752</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8"/>
              </w:rPr>
              <w:t>(404,411)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1,594,599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234,469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1,829,068</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(139,332)</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(139,332)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(142,521)</w:t>
            </w: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12,545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12,545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15,137</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4,345</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(122,442)</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(123,039)</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6,425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shares withheld for employee taxes</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(35,594)</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(35,594)</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(35,594)</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net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October 31, 2021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1,192,901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598,826</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w w:val="98"/>
              </w:rPr>
              <w:t>(404,411)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1,432,471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233,989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1,666,460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July 31, 2022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1,184,577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895,889</w:t>
            </w: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(479,417)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1,612,439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1,847,484</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loss: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(136,971)</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(136,971)</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(6,589)</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(143,560)</w:t>
            </w:r>
          </w:p>
        </w:tc>
        <w:tc>
          <w:tcPr>
            <w:tcW w:w="0" w:type="dxa"/>
            <w:vAlign w:val="bottom"/>
          </w:tcPr>
          <w:p>
            <w:pPr>
              <w:spacing w:after="0"/>
              <w:rPr>
                <w:sz w:val="1"/>
                <w:szCs w:val="1"/>
                <w:color w:val="auto"/>
              </w:rPr>
            </w:pPr>
          </w:p>
        </w:tc>
      </w:tr>
      <w:tr>
        <w:trPr>
          <w:trHeight w:val="213"/>
        </w:trPr>
        <w:tc>
          <w:tcPr>
            <w:tcW w:w="29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(87,838)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74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(87,838)</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(29,970)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(117,808)</w:t>
            </w: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Change in estimated fair value of hedging</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8,007</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8,007</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instruments, net of tax</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9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Total comprehensive loss</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500" w:type="dxa"/>
            <w:vAlign w:val="bottom"/>
            <w:tcBorders>
              <w:bottom w:val="single" w:sz="8" w:color="CCEEFF"/>
            </w:tcBorders>
          </w:tcPr>
          <w:p>
            <w:pPr>
              <w:spacing w:after="0"/>
              <w:rPr>
                <w:sz w:val="17"/>
                <w:szCs w:val="17"/>
                <w:color w:val="auto"/>
              </w:rPr>
            </w:pPr>
          </w:p>
        </w:tc>
        <w:tc>
          <w:tcPr>
            <w:tcW w:w="3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(216,802)</w:t>
            </w: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(36,559)</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(253,361)</w:t>
            </w:r>
          </w:p>
        </w:tc>
        <w:tc>
          <w:tcPr>
            <w:tcW w:w="0" w:type="dxa"/>
            <w:vAlign w:val="bottom"/>
          </w:tcPr>
          <w:p>
            <w:pPr>
              <w:spacing w:after="0"/>
              <w:rPr>
                <w:sz w:val="1"/>
                <w:szCs w:val="1"/>
                <w:color w:val="auto"/>
              </w:rPr>
            </w:pPr>
          </w:p>
        </w:tc>
      </w:tr>
      <w:tr>
        <w:trPr>
          <w:trHeight w:val="212"/>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6,345</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shares under share award plans,</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(4,042)</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(4,042)</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of shares withheld for employee taxes</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(Note 4)</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(77,018)</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(77,018)</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(77,018)</w:t>
            </w:r>
          </w:p>
        </w:tc>
        <w:tc>
          <w:tcPr>
            <w:tcW w:w="0" w:type="dxa"/>
            <w:vAlign w:val="bottom"/>
          </w:tcPr>
          <w:p>
            <w:pPr>
              <w:spacing w:after="0"/>
              <w:rPr>
                <w:sz w:val="1"/>
                <w:szCs w:val="1"/>
                <w:color w:val="auto"/>
              </w:rPr>
            </w:pPr>
          </w:p>
        </w:tc>
      </w:tr>
      <w:tr>
        <w:trPr>
          <w:trHeight w:val="162"/>
        </w:trPr>
        <w:tc>
          <w:tcPr>
            <w:tcW w:w="29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Cumulative effect of adoption of ASU 2020-</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32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(80,066)</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24,023</w:t>
            </w:r>
          </w:p>
        </w:tc>
        <w:tc>
          <w:tcPr>
            <w:tcW w:w="200" w:type="dxa"/>
            <w:vAlign w:val="bottom"/>
          </w:tcPr>
          <w:p>
            <w:pPr>
              <w:spacing w:after="0"/>
              <w:rPr>
                <w:sz w:val="14"/>
                <w:szCs w:val="14"/>
                <w:color w:val="auto"/>
              </w:rPr>
            </w:pPr>
          </w:p>
        </w:tc>
        <w:tc>
          <w:tcPr>
            <w:tcW w:w="740" w:type="dxa"/>
            <w:vAlign w:val="bottom"/>
            <w:vMerge w:val="restart"/>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(56,043)</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(56,043)</w:t>
            </w:r>
          </w:p>
        </w:tc>
        <w:tc>
          <w:tcPr>
            <w:tcW w:w="0" w:type="dxa"/>
            <w:vAlign w:val="bottom"/>
          </w:tcPr>
          <w:p>
            <w:pPr>
              <w:spacing w:after="0"/>
              <w:rPr>
                <w:sz w:val="1"/>
                <w:szCs w:val="1"/>
                <w:color w:val="auto"/>
              </w:rPr>
            </w:pPr>
          </w:p>
        </w:tc>
      </w:tr>
      <w:tr>
        <w:trPr>
          <w:trHeight w:val="213"/>
        </w:trPr>
        <w:tc>
          <w:tcPr>
            <w:tcW w:w="2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06 (Notes 2 &amp; 5)</w:t>
            </w: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6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Estimated acquisition date fair value of</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91,524</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91,524</w:t>
            </w:r>
          </w:p>
        </w:tc>
        <w:tc>
          <w:tcPr>
            <w:tcW w:w="0" w:type="dxa"/>
            <w:vAlign w:val="bottom"/>
          </w:tcPr>
          <w:p>
            <w:pPr>
              <w:spacing w:after="0"/>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interests (Note 6)</w:t>
            </w: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 net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0" w:type="dxa"/>
            <w:vAlign w:val="bottom"/>
          </w:tcPr>
          <w:p>
            <w:pPr>
              <w:spacing w:after="0"/>
              <w:rPr>
                <w:sz w:val="1"/>
                <w:szCs w:val="1"/>
                <w:color w:val="auto"/>
              </w:rPr>
            </w:pPr>
          </w:p>
        </w:tc>
      </w:tr>
      <w:tr>
        <w:trPr>
          <w:trHeight w:val="235"/>
        </w:trPr>
        <w:tc>
          <w:tcPr>
            <w:tcW w:w="29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October 31, 2022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5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1,106,813</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(68,908)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705,923</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(479,417)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1,264,879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286,839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1,551,718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(143,560)</w:t>
            </w:r>
          </w:p>
        </w:tc>
        <w:tc>
          <w:tcPr>
            <w:tcW w:w="44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(142,521)</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64,614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61,489</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6,345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6,425</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(58,006)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(56,603)</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non-cash expense (income),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8,615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Trade receivables,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264,285</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236,748</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Inventories,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(31,924)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(23,105)</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2,508</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12,164</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revenue</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279,221</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286,369</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taxes payable - other</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(38,647)</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(26,922)</w:t>
            </w:r>
          </w:p>
        </w:tc>
      </w:tr>
      <w:tr>
        <w:trPr>
          <w:trHeight w:val="212"/>
        </w:trPr>
        <w:tc>
          <w:tcPr>
            <w:tcW w:w="784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332,991</w:t>
            </w: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349,021</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(124,099)</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(50,130)</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Return of deposit for acquisition of business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114,506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Acquisition of business, net of cash acquired</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(38,567)</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Investments in short-term deposits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(86,756)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385</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10,273</w:t>
            </w:r>
          </w:p>
        </w:tc>
      </w:tr>
      <w:tr>
        <w:trPr>
          <w:trHeight w:val="210"/>
        </w:trPr>
        <w:tc>
          <w:tcPr>
            <w:tcW w:w="7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(134,531)</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(39,857)</w:t>
            </w: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Repayments of borrowings under Vail Holdings Credit Agreement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(15,625)</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(15,625)</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of borrowings under Whistler Credit Agreement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(23,145)</w:t>
            </w:r>
          </w:p>
        </w:tc>
      </w:tr>
      <w:tr>
        <w:trPr>
          <w:trHeight w:val="213"/>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Employee taxes paid for share award exercises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w:t>
            </w: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Dividends paid</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(77,018)</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(35,594)</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(7,942)</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10"/>
        </w:trPr>
        <w:tc>
          <w:tcPr>
            <w:tcW w:w="784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(104,628)</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(84,734)</w:t>
            </w:r>
          </w:p>
        </w:tc>
      </w:tr>
      <w:tr>
        <w:trPr>
          <w:trHeight w:val="209"/>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(18,876)</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9"/>
        </w:trPr>
        <w:tc>
          <w:tcPr>
            <w:tcW w:w="7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increase in cash, cash equivalents and restricted cash</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74,956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224,288</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1,126,107</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1,258,574</w:t>
            </w:r>
          </w:p>
        </w:tc>
      </w:tr>
      <w:tr>
        <w:trPr>
          <w:trHeight w:val="209"/>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End of period</w:t>
            </w: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1,201,063</w:t>
            </w:r>
          </w:p>
        </w:tc>
        <w:tc>
          <w:tcPr>
            <w:tcW w:w="4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1,482,862</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8"/>
        </w:trPr>
        <w:tc>
          <w:tcPr>
            <w:tcW w:w="78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capital expenditures</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21,069</w:t>
            </w:r>
          </w:p>
        </w:tc>
        <w:tc>
          <w:tcPr>
            <w:tcW w:w="44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8,582</w:t>
            </w:r>
          </w:p>
        </w:tc>
      </w:tr>
    </w:tbl>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Vail Resorts,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Condensed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Business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41 destination mountain resorts and regional ski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(“GTLC”), which operates destination resorts in Grand Teton National Park; a Colorado resort ground transportation company and mountain resort golf courses.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Vail Resorts Development Company, a wholly-owned subsidiary, conducts the operations of the Company’s Real Estate segment, which owns, develops and sells real estate in and around the Company’s resort communities.</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mountain business and its lodging properties at or around the Company’s mountain resorts are seasonal in nature, and typically experience their peak operating seasons primarily from mid-December through mid-April in North America and Europe. The peak operating season at the Company’s Australian resorts, NPS concessioner properties and golf courses generally occurs from June to early October.</w:t>
      </w:r>
    </w:p>
    <w:p>
      <w:pPr>
        <w:spacing w:after="0" w:line="199"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Consolidated Condensed Financial Statements — </w:t>
      </w:r>
      <w:r>
        <w:rPr>
          <w:rFonts w:ascii="Times New Roman" w:cs="Times New Roman" w:eastAsia="Times New Roman" w:hAnsi="Times New Roman"/>
          <w:sz w:val="18"/>
          <w:szCs w:val="18"/>
          <w:color w:val="auto"/>
        </w:rPr>
        <w:t>In the opinion of the Company, the accompanying Consolidated Condensed Financial Statements reflect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2022.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2022 was derived from audited financial statements.</w:t>
      </w:r>
    </w:p>
    <w:p>
      <w:pPr>
        <w:spacing w:after="0" w:line="18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 The preparation of financial statements in conformity with GAAP requires management to make estimates and assumptions that affect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Fair Value of Financial Instruments </w:t>
      </w:r>
      <w:r>
        <w:rPr>
          <w:rFonts w:ascii="Times New Roman" w:cs="Times New Roman" w:eastAsia="Times New Roman" w:hAnsi="Times New Roman"/>
          <w:sz w:val="18"/>
          <w:szCs w:val="18"/>
          <w:color w:val="auto"/>
        </w:rPr>
        <w:t>— The recorded amounts for cash and cash equivalents, restricted cash, trade receivables, other current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accounts payable and accrued liabilities approximate fair value due to their short-term nature. The fair value of amounts outstanding under the Company’s credit agreements and the Employee Housing Bonds (as defined in Note 5, Long-Term Debt) approximate book value due to the variable nature of the interest rate associated with the debt. The recorded amount outstanding under the Company’s NRP Loan (as defined in Note 5, Long-Term Debt), which was assumed by the Company during the three months ended October 31, 2022, approximates fair value as the debt obligation was recorded at estimated fair value in conjunction with the preliminary purchase accounting for the Andermatt-Sedrun acquisition (see Note 6, Acquisitions). The estimated fair values of the 6.25% Notes and the 0.0% Convertible Notes (each as defined in Note 5, Long-Term Debt) are based on quoted market prices (a Level 2 input). The estimated fair value of the EPR Secured Notes (as defined in Note 5, Long-Term Debt) has been estimated using analyses based on current borrowing rates for debt with similar remaining maturities and ratings (a Level 2 input). The carrying values, including any unamortized premium or discount, and estimated fair values of the 6.25% Notes, 0.0% Convertible Notes and EPR Secured Notes as of October 31, 2022 are presented below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3"/>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October 31, 2022</w:t>
            </w:r>
          </w:p>
        </w:tc>
      </w:tr>
      <w:tr>
        <w:trPr>
          <w:trHeight w:val="23"/>
        </w:trPr>
        <w:tc>
          <w:tcPr>
            <w:tcW w:w="78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6.25% Notes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598,302</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 Convertible Notes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575,000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513,101</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EPR Secured Notes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133,706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156,893</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 Standards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2020, the Financial Accounting Standards Board (“FASB”) issued Accounting Standards Update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in this update are effective as of March 12, 2020 through December 31, 2022. The amendments in this update may be applied as of any date from the beginning of an interim period that includes or is subsequent to March 12, 2020, or prospectively from a date within 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9" w:name="page10"/>
    <w:bookmarkEnd w:id="9"/>
    <w:p>
      <w:pPr>
        <w:jc w:val="both"/>
        <w:spacing w:after="0" w:line="282" w:lineRule="auto"/>
        <w:rPr>
          <w:sz w:val="20"/>
          <w:szCs w:val="20"/>
          <w:color w:val="auto"/>
        </w:rPr>
      </w:pPr>
      <w:r>
        <w:rPr>
          <w:rFonts w:ascii="Times New Roman" w:cs="Times New Roman" w:eastAsia="Times New Roman" w:hAnsi="Times New Roman"/>
          <w:sz w:val="18"/>
          <w:szCs w:val="18"/>
          <w:color w:val="auto"/>
        </w:rPr>
        <w:t>interim period that includes or is subsequent to March 12, 2020, up to the date that the financial statements are available to be issued. All other amendments should be applied on a prospective basis.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party to various interest rate swap agreements that hedge the variable interest rate component of underlying cash flows of $400.0 million in principal amount of its Vail Holdings Credit Agreement (as defined in Note 5, Long-Term Debt), which are designated as cash flow hedges. During the three months ended October 31, 2022, the Company entered into an amendment to its Vail Holdings Credit Agreement (the “Fifth Amendment”) to modify the calculation of interest under the Vail Holdings Credit Agreement from being calculated based on LIBOR to being calculated based on SOFR (see Note 5, Long-Term Debt, for additional information). In association with the Fifth Amendment, the interest rate swaps were also amended to transition from a hedge of LIBOR to a hedge of SOFR. The Company elected certain optional expedients provided by Topic 848, which allowed the Company to not apply certain modification accounting requirements or reassess the previous accounting designation of the interest rate swap agreements as cash flow hedges.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August 2020, the FASB issued ASU 2020-06, “Accounting for Convertible Instruments and Contracts in an Entity’s Own Equity” which simplifies the guidance in Accounting Standards Codifications (“ASC”) 470-20, “Debt – Debt with Conversion and Other Options.” The guidance removes certain accounting models which required separation of the embedded conversion features from the host contract for convertible instruments, requiring bifurcation only if the convertible debt feature qualifies as a derivative under ASC 815, “Derivatives and Hedging”, or for convertible debt issued at a substantial premium. The guidance also amends the guidance in ASC 815-40, “Derivatives and Hedging – Contracts in Entity’s Own Equity” for certain contracts in an entity’s own equity that are currently accounted for as derivatives. This standard is effective for fiscal years beginning after December 15, 2021, including interim periods within those fiscal years (the Company’s first quarter of the fiscal year ending July 31, 2023). This standard allows for a modified retrospective or fully retrospective method of transition. The Company adopted ASU 2020-06 on August 1, 2022 using the modified retrospective method, and therefore prior period financial information has not been retrospectively adjusted and continues to be reported under the accounting standards in effect for those periods.</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adoption of the standard, the Company reclassified the previously bifurcated equity component of its 0.0% Convertible Notes (as defined in Note 5, Long-Term Debt) to long-term debt, net, as the convertible option on the 0.0% Convertible Notes does not qualify as a derivatives under ASC 815 nor were the 0.0% Convertible Notes issued at a substantial premium. This reclassification was partially offset by an increase to retained earnings for the previously recognized non-cash interest expense, net of tax that had been recorded as a result of amortization of the previously recorded debt discount. The adoption of this new guidance eliminates the recognition of non-cash interest expense to be recognized in future periods due to removal of the debt discount associated with the 0.0% Convertible Notes.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impact of adoption of ASU 2020-06 on the Consolidated Condensed Balance Sheet as of adoption date was as follows (in thousands):</w:t>
      </w:r>
    </w:p>
    <w:p>
      <w:pPr>
        <w:spacing w:after="0" w:line="1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2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As of August 1, 2022</w:t>
            </w:r>
          </w:p>
        </w:tc>
        <w:tc>
          <w:tcPr>
            <w:tcW w:w="5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1"/>
                <w:szCs w:val="11"/>
                <w:color w:val="auto"/>
              </w:rPr>
            </w:pPr>
          </w:p>
        </w:tc>
        <w:tc>
          <w:tcPr>
            <w:tcW w:w="2200" w:type="dxa"/>
            <w:vAlign w:val="bottom"/>
          </w:tcPr>
          <w:p>
            <w:pPr>
              <w:jc w:val="right"/>
              <w:ind w:right="36"/>
              <w:spacing w:after="0" w:line="129" w:lineRule="exact"/>
              <w:rPr>
                <w:sz w:val="20"/>
                <w:szCs w:val="20"/>
                <w:color w:val="auto"/>
              </w:rPr>
            </w:pPr>
            <w:r>
              <w:rPr>
                <w:rFonts w:ascii="Times New Roman" w:cs="Times New Roman" w:eastAsia="Times New Roman" w:hAnsi="Times New Roman"/>
                <w:sz w:val="14"/>
                <w:szCs w:val="14"/>
                <w:b w:val="1"/>
                <w:bCs w:val="1"/>
                <w:color w:val="auto"/>
              </w:rPr>
              <w:t>Balances without the Adoption of</w:t>
            </w:r>
          </w:p>
        </w:tc>
        <w:tc>
          <w:tcPr>
            <w:tcW w:w="340" w:type="dxa"/>
            <w:vAlign w:val="bottom"/>
          </w:tcPr>
          <w:p>
            <w:pPr>
              <w:spacing w:after="0"/>
              <w:rPr>
                <w:sz w:val="11"/>
                <w:szCs w:val="11"/>
                <w:color w:val="auto"/>
              </w:rPr>
            </w:pPr>
          </w:p>
        </w:tc>
        <w:tc>
          <w:tcPr>
            <w:tcW w:w="2020" w:type="dxa"/>
            <w:vAlign w:val="bottom"/>
            <w:vMerge w:val="restart"/>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360" w:type="dxa"/>
            <w:vAlign w:val="bottom"/>
            <w:gridSpan w:val="2"/>
          </w:tcPr>
          <w:p>
            <w:pPr>
              <w:jc w:val="right"/>
              <w:ind w:right="14"/>
              <w:spacing w:after="0" w:line="129" w:lineRule="exact"/>
              <w:rPr>
                <w:sz w:val="20"/>
                <w:szCs w:val="20"/>
                <w:color w:val="auto"/>
              </w:rPr>
            </w:pPr>
            <w:r>
              <w:rPr>
                <w:rFonts w:ascii="Times New Roman" w:cs="Times New Roman" w:eastAsia="Times New Roman" w:hAnsi="Times New Roman"/>
                <w:sz w:val="14"/>
                <w:szCs w:val="14"/>
                <w:b w:val="1"/>
                <w:bCs w:val="1"/>
                <w:color w:val="auto"/>
              </w:rPr>
              <w:t>Balances with the adoption of ASU</w:t>
            </w:r>
          </w:p>
        </w:tc>
        <w:tc>
          <w:tcPr>
            <w:tcW w:w="0" w:type="dxa"/>
            <w:vAlign w:val="bottom"/>
          </w:tcPr>
          <w:p>
            <w:pPr>
              <w:spacing w:after="0"/>
              <w:rPr>
                <w:sz w:val="1"/>
                <w:szCs w:val="1"/>
                <w:color w:val="auto"/>
              </w:rPr>
            </w:pPr>
          </w:p>
        </w:tc>
      </w:tr>
      <w:tr>
        <w:trPr>
          <w:trHeight w:val="196"/>
        </w:trPr>
        <w:tc>
          <w:tcPr>
            <w:tcW w:w="414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ASU 2020-06</w:t>
            </w:r>
          </w:p>
        </w:tc>
        <w:tc>
          <w:tcPr>
            <w:tcW w:w="34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vMerge w:val="continue"/>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b w:val="1"/>
                <w:bCs w:val="1"/>
                <w:color w:val="auto"/>
              </w:rPr>
              <w:t>2020-06</w:t>
            </w:r>
          </w:p>
        </w:tc>
        <w:tc>
          <w:tcPr>
            <w:tcW w:w="0" w:type="dxa"/>
            <w:vAlign w:val="bottom"/>
          </w:tcPr>
          <w:p>
            <w:pPr>
              <w:spacing w:after="0"/>
              <w:rPr>
                <w:sz w:val="1"/>
                <w:szCs w:val="1"/>
                <w:color w:val="auto"/>
              </w:rPr>
            </w:pPr>
          </w:p>
        </w:tc>
      </w:tr>
      <w:tr>
        <w:trPr>
          <w:trHeight w:val="229"/>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 term debt,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2,670,300</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center"/>
              <w:ind w:left="1316"/>
              <w:spacing w:after="0"/>
              <w:rPr>
                <w:sz w:val="20"/>
                <w:szCs w:val="20"/>
                <w:color w:val="auto"/>
              </w:rPr>
            </w:pPr>
            <w:r>
              <w:rPr>
                <w:rFonts w:ascii="Times New Roman" w:cs="Times New Roman" w:eastAsia="Times New Roman" w:hAnsi="Times New Roman"/>
                <w:sz w:val="18"/>
                <w:szCs w:val="18"/>
                <w:color w:val="auto"/>
              </w:rPr>
              <w:t>74,822</w:t>
            </w:r>
          </w:p>
        </w:tc>
        <w:tc>
          <w:tcPr>
            <w:tcW w:w="5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2,745,122</w:t>
            </w: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268,464</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center"/>
              <w:ind w:left="1276"/>
              <w:spacing w:after="0"/>
              <w:rPr>
                <w:sz w:val="20"/>
                <w:szCs w:val="20"/>
                <w:color w:val="auto"/>
              </w:rPr>
            </w:pPr>
            <w:r>
              <w:rPr>
                <w:rFonts w:ascii="Times New Roman" w:cs="Times New Roman" w:eastAsia="Times New Roman" w:hAnsi="Times New Roman"/>
                <w:sz w:val="18"/>
                <w:szCs w:val="18"/>
                <w:color w:val="auto"/>
              </w:rPr>
              <w:t>(18,779)</w:t>
            </w: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249,685</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1,184,577</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center"/>
              <w:ind w:left="1276"/>
              <w:spacing w:after="0"/>
              <w:rPr>
                <w:sz w:val="20"/>
                <w:szCs w:val="20"/>
                <w:color w:val="auto"/>
              </w:rPr>
            </w:pPr>
            <w:r>
              <w:rPr>
                <w:rFonts w:ascii="Times New Roman" w:cs="Times New Roman" w:eastAsia="Times New Roman" w:hAnsi="Times New Roman"/>
                <w:sz w:val="18"/>
                <w:szCs w:val="18"/>
                <w:color w:val="auto"/>
              </w:rPr>
              <w:t>(80,066)</w:t>
            </w:r>
          </w:p>
        </w:tc>
        <w:tc>
          <w:tcPr>
            <w:tcW w:w="540" w:type="dxa"/>
            <w:vAlign w:val="bottom"/>
            <w:shd w:val="clear" w:color="auto" w:fill="CCEEFF"/>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1,104,511</w:t>
            </w:r>
          </w:p>
        </w:tc>
        <w:tc>
          <w:tcPr>
            <w:tcW w:w="0" w:type="dxa"/>
            <w:vAlign w:val="bottom"/>
          </w:tcPr>
          <w:p>
            <w:pPr>
              <w:spacing w:after="0"/>
              <w:rPr>
                <w:sz w:val="1"/>
                <w:szCs w:val="1"/>
                <w:color w:val="auto"/>
              </w:rPr>
            </w:pPr>
          </w:p>
        </w:tc>
      </w:tr>
      <w:tr>
        <w:trPr>
          <w:trHeight w:val="234"/>
        </w:trPr>
        <w:tc>
          <w:tcPr>
            <w:tcW w:w="4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895,889</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center"/>
              <w:ind w:left="1316"/>
              <w:spacing w:after="0"/>
              <w:rPr>
                <w:sz w:val="20"/>
                <w:szCs w:val="20"/>
                <w:color w:val="auto"/>
              </w:rPr>
            </w:pPr>
            <w:r>
              <w:rPr>
                <w:rFonts w:ascii="Times New Roman" w:cs="Times New Roman" w:eastAsia="Times New Roman" w:hAnsi="Times New Roman"/>
                <w:sz w:val="18"/>
                <w:szCs w:val="18"/>
                <w:color w:val="auto"/>
              </w:rPr>
              <w:t>24,023</w:t>
            </w:r>
          </w:p>
        </w:tc>
        <w:tc>
          <w:tcPr>
            <w:tcW w:w="540" w:type="dxa"/>
            <w:vAlign w:val="bottom"/>
          </w:tcPr>
          <w:p>
            <w:pPr>
              <w:jc w:val="right"/>
              <w:ind w:right="334"/>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919,912</w:t>
            </w:r>
          </w:p>
        </w:tc>
        <w:tc>
          <w:tcPr>
            <w:tcW w:w="0" w:type="dxa"/>
            <w:vAlign w:val="bottom"/>
          </w:tcPr>
          <w:p>
            <w:pPr>
              <w:spacing w:after="0"/>
              <w:rPr>
                <w:sz w:val="1"/>
                <w:szCs w:val="1"/>
                <w:color w:val="auto"/>
              </w:rPr>
            </w:pPr>
          </w:p>
        </w:tc>
      </w:tr>
    </w:tbl>
    <w:p>
      <w:pPr>
        <w:spacing w:after="0" w:line="2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ASU 2020-06 also prohibits the use of the treasury stock method for convertible instruments for the purposes of calculating diluted earnings per share (“EPS”) and instead requires application of the if-converted method. Under the if-converted method, diluted EPS will generally be calculated assuming that all of the convertible debt instruments were converted solely into shares of common stock at the beginning of the reporting period unless the result would be anti-dilutive. Pursuant to the terms of the 0.0% Convertible Notes, the principal amount of the 0.0% Convertible Notes is required to be paid in cash and only the premium due upon conversion, if any, is permitted to be settled in shares, cash or a combination of shares and cash. Consequently, for the Company the if-converted method would produce a similar result as the treasury stock method, which was utilized for the calculation of diluted EPS prior to the adoption of ASU 2020-06 for the 0.0% Convertible Notes.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0" w:name="page11"/>
    <w:bookmarkEnd w:id="10"/>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Revenues</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net revenues disaggregated by segment and major revenue type for the three months ended October 31, 2022 and 2021 (in thousands):</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7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Pr>
          <w:p>
            <w:pPr>
              <w:spacing w:after="0"/>
              <w:rPr>
                <w:sz w:val="16"/>
                <w:szCs w:val="16"/>
                <w:color w:val="auto"/>
              </w:rPr>
            </w:pPr>
          </w:p>
        </w:tc>
        <w:tc>
          <w:tcPr>
            <w:tcW w:w="1260" w:type="dxa"/>
            <w:vAlign w:val="bottom"/>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3"/>
        </w:trPr>
        <w:tc>
          <w:tcPr>
            <w:tcW w:w="7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59,540</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w:t>
            </w:r>
          </w:p>
        </w:tc>
      </w:tr>
      <w:tr>
        <w:trPr>
          <w:trHeight w:val="23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8,927</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19,442</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r>
      <w:tr>
        <w:trPr>
          <w:trHeight w:val="23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40,344</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28,376</w:t>
            </w:r>
          </w:p>
        </w:tc>
      </w:tr>
      <w:tr>
        <w:trPr>
          <w:trHeight w:val="229"/>
        </w:trPr>
        <w:tc>
          <w:tcPr>
            <w:tcW w:w="77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73,464</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52,602</w:t>
            </w:r>
          </w:p>
        </w:tc>
      </w:tr>
      <w:tr>
        <w:trPr>
          <w:trHeight w:val="223"/>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201,717</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109,300</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23,565</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21,483</w:t>
            </w:r>
          </w:p>
        </w:tc>
      </w:tr>
      <w:tr>
        <w:trPr>
          <w:trHeight w:val="229"/>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12,859</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13,084</w:t>
            </w:r>
          </w:p>
        </w:tc>
      </w:tr>
      <w:tr>
        <w:trPr>
          <w:trHeight w:val="229"/>
        </w:trPr>
        <w:tc>
          <w:tcPr>
            <w:tcW w:w="7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16,829</w:t>
            </w:r>
          </w:p>
        </w:tc>
        <w:tc>
          <w:tcPr>
            <w:tcW w:w="4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10,275</w:t>
            </w:r>
          </w:p>
        </w:tc>
      </w:tr>
      <w:tr>
        <w:trPr>
          <w:trHeight w:val="230"/>
        </w:trPr>
        <w:tc>
          <w:tcPr>
            <w:tcW w:w="7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5,890</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5,109</w:t>
            </w:r>
          </w:p>
        </w:tc>
      </w:tr>
      <w:tr>
        <w:trPr>
          <w:trHeight w:val="229"/>
        </w:trPr>
        <w:tc>
          <w:tcPr>
            <w:tcW w:w="7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14,797</w:t>
            </w: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14,269</w:t>
            </w:r>
          </w:p>
        </w:tc>
      </w:tr>
      <w:tr>
        <w:trPr>
          <w:trHeight w:val="223"/>
        </w:trPr>
        <w:tc>
          <w:tcPr>
            <w:tcW w:w="7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73,940</w:t>
            </w:r>
          </w:p>
        </w:tc>
        <w:tc>
          <w:tcPr>
            <w:tcW w:w="4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64,220</w:t>
            </w:r>
          </w:p>
        </w:tc>
      </w:tr>
      <w:tr>
        <w:trPr>
          <w:trHeight w:val="229"/>
        </w:trPr>
        <w:tc>
          <w:tcPr>
            <w:tcW w:w="77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3,677</w:t>
            </w:r>
          </w:p>
        </w:tc>
        <w:tc>
          <w:tcPr>
            <w:tcW w:w="4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r>
      <w:tr>
        <w:trPr>
          <w:trHeight w:val="223"/>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77,617</w:t>
            </w:r>
          </w:p>
        </w:tc>
        <w:tc>
          <w:tcPr>
            <w:tcW w:w="4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65,961</w:t>
            </w:r>
          </w:p>
        </w:tc>
      </w:tr>
      <w:tr>
        <w:trPr>
          <w:trHeight w:val="223"/>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279,334</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175,261</w:t>
            </w:r>
          </w:p>
        </w:tc>
      </w:tr>
      <w:tr>
        <w:trPr>
          <w:trHeight w:val="230"/>
        </w:trPr>
        <w:tc>
          <w:tcPr>
            <w:tcW w:w="7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113</w:t>
            </w:r>
          </w:p>
        </w:tc>
        <w:tc>
          <w:tcPr>
            <w:tcW w:w="4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48"/>
        </w:trPr>
        <w:tc>
          <w:tcPr>
            <w:tcW w:w="77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279,447</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175,576</w:t>
            </w:r>
          </w:p>
        </w:tc>
      </w:tr>
      <w:tr>
        <w:trPr>
          <w:trHeight w:val="20"/>
        </w:trPr>
        <w:tc>
          <w:tcPr>
            <w:tcW w:w="7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balances of a short-term nature were $787.5 million and $511.3 million as of October 31, 2022 and July 31, 2022, respectively. For the three months ended October 31, 2022, the Company recognized approximately $54.5 million of revenue that was included in the deferred revenue balance as of July 31, 2022. Deferred revenue balances of a long-term nature, comprised primarily of long-term private club initiation fee revenue, were $115.6 million and $117.2 million as of October 31, 2022 and July 31, 2022, respectively. As of October 31, 2022, the weighted average remaining period over which revenue for unsatisfied performance obligations on long-term private club contracts will be recognized was approximately 15 years. Trade receivables, net were $118.5 million and $383.4 million as of October 31, 2022 and July 31, 2022, respectively.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Contracts with Customers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2022, $19.7 million of costs to obtain contracts with customers were recorded within other current assets on the Company’s Consolidated Condensed Balance Sheet. The amounts capitalized are subject to amortization generally beginning in the second quarter of fiscal 2023, commensurate with the revenue recognized for related pass products, and will be recorded within Mountain and Lodging operating expenses on the Company’s Consolidated Condensed Statement of Operations.</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Share</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EPS excludes dilution and is computed by dividing net loss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Company’s acquisition of Whistler Blackcomb in October 2016, the Company issued consideration in the form of shares of Vail Resorts common stock (the “Vail Shares”), redeemable preferred shares of the Company’s wholly-owned Canadian subsidiary Whistler Blackcomb Holdings Inc. (“Exchangeco”) or cash (or a combination thereof). Whistler Blackcomb shareholders elected to receive 3,327,719 Vail Shares and 418,095 shares of Exchangeco (the “Exchangeco Shares”). The Exchangeco Shares could be redeemed for Vail Shares at any time until October 2023 or until the Company elected to convert any remaining Exchangeco Shares to Vail Shares, which the Company had the ability to do once total Exchangeco Shares outstanding fell below 20,904 shares (or 5% of the total Exchangeco Shares originally issued). In July 2022, the number of outstanding Exchangeco Shares fell below such threshold and on August 25, 2022, the Company elected to redeem all outstanding Exchangeco Shares, effective September 26, 2022. As of October 31, 2022, all Exchangeco Shares have been exchanged for Vail Shares. Both Vail Shares and Exchangeco Shares have a par value of $0.01 per share, and Exchangeco Shares, while they were outstanding, were substantially the economic equivalent of the Vail Shares. The Company’s calculation of weighted-average shares outstanding includes the Exchangeco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basic and diluted EPS for the three months ended October 31, 2022 and 2021 (in thousands, except per share amounts):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3"/>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3"/>
        </w:trPr>
        <w:tc>
          <w:tcPr>
            <w:tcW w:w="5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190"/>
        </w:trPr>
        <w:tc>
          <w:tcPr>
            <w:tcW w:w="53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2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3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Basic</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Diluted</w:t>
            </w:r>
          </w:p>
        </w:tc>
      </w:tr>
      <w:tr>
        <w:trPr>
          <w:trHeight w:val="229"/>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(136,971)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(139,332)</w:t>
            </w:r>
          </w:p>
        </w:tc>
        <w:tc>
          <w:tcPr>
            <w:tcW w:w="3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(139,332)</w:t>
            </w:r>
          </w:p>
        </w:tc>
      </w:tr>
      <w:tr>
        <w:trPr>
          <w:trHeight w:val="229"/>
        </w:trPr>
        <w:tc>
          <w:tcPr>
            <w:tcW w:w="5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Vail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40,296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40,296</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40,414</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40,414</w:t>
            </w:r>
          </w:p>
        </w:tc>
      </w:tr>
      <w:tr>
        <w:trPr>
          <w:trHeight w:val="229"/>
        </w:trPr>
        <w:tc>
          <w:tcPr>
            <w:tcW w:w="53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53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40,298</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40,298</w:t>
            </w:r>
          </w:p>
        </w:tc>
        <w:tc>
          <w:tcPr>
            <w:tcW w:w="3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40,448</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40,448</w:t>
            </w:r>
          </w:p>
        </w:tc>
      </w:tr>
      <w:tr>
        <w:trPr>
          <w:trHeight w:val="229"/>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3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40,298</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40,298</w:t>
            </w:r>
          </w:p>
        </w:tc>
        <w:tc>
          <w:tcPr>
            <w:tcW w:w="3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40,448</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40,448</w:t>
            </w:r>
          </w:p>
        </w:tc>
      </w:tr>
      <w:tr>
        <w:trPr>
          <w:trHeight w:val="223"/>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per share attributable to Vail Resorts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3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3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0.2 million and 0.5 million for the three months ended October 31, 2022 and 2021, respectively.</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December 18,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three months ended October 31, 2022 and 2021, the price of Vail Shares did not exceed the conversion price and therefore there was no impact to diluted EPS during those periods.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October 31, 2022 and 2021, the Company paid cash dividends of $1.91 and $0.88 per share, respectively ($77.0 million and $35.6 million, respectively, including cash dividends paid to Exchangeco shareholders). On December 7, 2022, the Company’s Board of Directors approved a cash dividend of $1.91 per share payable on January 10, 2023 to stockholders of record as of December 27, 2022.</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Long-Term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as of October 31, 2022, July 31, 2022 and October 31, 2021 is summarized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140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340" w:type="dxa"/>
            <w:vAlign w:val="bottom"/>
          </w:tcPr>
          <w:p>
            <w:pPr>
              <w:spacing w:after="0"/>
              <w:rPr>
                <w:sz w:val="16"/>
                <w:szCs w:val="16"/>
                <w:color w:val="auto"/>
              </w:rPr>
            </w:pPr>
          </w:p>
        </w:tc>
        <w:tc>
          <w:tcPr>
            <w:tcW w:w="12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280" w:type="dxa"/>
            <w:vAlign w:val="bottom"/>
          </w:tcPr>
          <w:p>
            <w:pPr>
              <w:spacing w:after="0"/>
              <w:rPr>
                <w:sz w:val="16"/>
                <w:szCs w:val="16"/>
                <w:color w:val="auto"/>
              </w:rPr>
            </w:pPr>
          </w:p>
        </w:tc>
        <w:tc>
          <w:tcPr>
            <w:tcW w:w="124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2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3"/>
        </w:trPr>
        <w:tc>
          <w:tcPr>
            <w:tcW w:w="5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Vail Holdings Credit Agreement term loan </w:t>
            </w:r>
            <w:r>
              <w:rPr>
                <w:rFonts w:ascii="Times New Roman" w:cs="Times New Roman" w:eastAsia="Times New Roman" w:hAnsi="Times New Roman"/>
                <w:sz w:val="23"/>
                <w:szCs w:val="23"/>
                <w:color w:val="auto"/>
                <w:vertAlign w:val="superscript"/>
              </w:rPr>
              <w:t>(a)</w:t>
            </w:r>
          </w:p>
        </w:tc>
        <w:tc>
          <w:tcPr>
            <w:tcW w:w="140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2026</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1,062,500</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1,078,125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1,125,000</w:t>
            </w:r>
          </w:p>
        </w:tc>
      </w:tr>
      <w:tr>
        <w:trPr>
          <w:trHeight w:val="230"/>
        </w:trPr>
        <w:tc>
          <w:tcPr>
            <w:tcW w:w="5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Vail Holdings Credit Agreement revolver </w:t>
            </w:r>
            <w:r>
              <w:rPr>
                <w:rFonts w:ascii="Times New Roman" w:cs="Times New Roman" w:eastAsia="Times New Roman" w:hAnsi="Times New Roman"/>
                <w:sz w:val="23"/>
                <w:szCs w:val="23"/>
                <w:color w:val="auto"/>
                <w:vertAlign w:val="superscript"/>
              </w:rPr>
              <w:t>(a)</w:t>
            </w: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2026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6.25% Notes</w:t>
            </w:r>
          </w:p>
        </w:tc>
        <w:tc>
          <w:tcPr>
            <w:tcW w:w="140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2025</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29"/>
        </w:trPr>
        <w:tc>
          <w:tcPr>
            <w:tcW w:w="5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0.0% Convertible Notes </w:t>
            </w:r>
            <w:r>
              <w:rPr>
                <w:rFonts w:ascii="Times New Roman" w:cs="Times New Roman" w:eastAsia="Times New Roman" w:hAnsi="Times New Roman"/>
                <w:sz w:val="23"/>
                <w:szCs w:val="23"/>
                <w:color w:val="auto"/>
                <w:vertAlign w:val="superscript"/>
              </w:rPr>
              <w:t>(b)</w:t>
            </w: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2026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575,000</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575,000</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575,000</w:t>
            </w:r>
          </w:p>
        </w:tc>
      </w:tr>
      <w:tr>
        <w:trPr>
          <w:trHeight w:val="230"/>
        </w:trPr>
        <w:tc>
          <w:tcPr>
            <w:tcW w:w="5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Whistler Credit Agreement revolver </w:t>
            </w:r>
            <w:r>
              <w:rPr>
                <w:rFonts w:ascii="Times New Roman" w:cs="Times New Roman" w:eastAsia="Times New Roman" w:hAnsi="Times New Roman"/>
                <w:sz w:val="23"/>
                <w:szCs w:val="23"/>
                <w:color w:val="auto"/>
                <w:vertAlign w:val="superscript"/>
              </w:rPr>
              <w:t>(c)</w:t>
            </w:r>
          </w:p>
        </w:tc>
        <w:tc>
          <w:tcPr>
            <w:tcW w:w="140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2026</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11,011</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11,717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21,794</w:t>
            </w:r>
          </w:p>
        </w:tc>
      </w:tr>
      <w:tr>
        <w:trPr>
          <w:trHeight w:val="229"/>
        </w:trPr>
        <w:tc>
          <w:tcPr>
            <w:tcW w:w="5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EPR Secured Notes </w:t>
            </w:r>
            <w:r>
              <w:rPr>
                <w:rFonts w:ascii="Times New Roman" w:cs="Times New Roman" w:eastAsia="Times New Roman" w:hAnsi="Times New Roman"/>
                <w:sz w:val="23"/>
                <w:szCs w:val="23"/>
                <w:color w:val="auto"/>
                <w:vertAlign w:val="superscript"/>
              </w:rPr>
              <w:t>(d)</w:t>
            </w:r>
          </w:p>
        </w:tc>
        <w:tc>
          <w:tcPr>
            <w:tcW w:w="140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99"/>
              </w:rPr>
              <w:t>2034-2036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114,162</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114,162</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114,162</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EB-5 Development Notes</w:t>
            </w:r>
          </w:p>
        </w:tc>
        <w:tc>
          <w:tcPr>
            <w:tcW w:w="140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2021</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51,500</w:t>
            </w:r>
          </w:p>
        </w:tc>
      </w:tr>
      <w:tr>
        <w:trPr>
          <w:trHeight w:val="229"/>
        </w:trPr>
        <w:tc>
          <w:tcPr>
            <w:tcW w:w="52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NRP Loan </w:t>
            </w:r>
            <w:r>
              <w:rPr>
                <w:rFonts w:ascii="Times New Roman" w:cs="Times New Roman" w:eastAsia="Times New Roman" w:hAnsi="Times New Roman"/>
                <w:sz w:val="23"/>
                <w:szCs w:val="23"/>
                <w:color w:val="auto"/>
                <w:vertAlign w:val="superscript"/>
              </w:rPr>
              <w:t>(e)</w:t>
            </w: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2036</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36,430</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Employee housing bonds</w:t>
            </w:r>
          </w:p>
        </w:tc>
        <w:tc>
          <w:tcPr>
            <w:tcW w:w="1400" w:type="dxa"/>
            <w:vAlign w:val="bottom"/>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2027-2039</w:t>
            </w: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52,575</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52,575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52,575</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Canyons obligation</w:t>
            </w:r>
          </w:p>
        </w:tc>
        <w:tc>
          <w:tcPr>
            <w:tcW w:w="140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w w:val="99"/>
              </w:rPr>
              <w:t>2063</w:t>
            </w: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359,052</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357,607</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353,266</w:t>
            </w:r>
          </w:p>
        </w:tc>
      </w:tr>
      <w:tr>
        <w:trPr>
          <w:trHeight w:val="229"/>
        </w:trPr>
        <w:tc>
          <w:tcPr>
            <w:tcW w:w="52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0" w:type="dxa"/>
            <w:vAlign w:val="bottom"/>
            <w:tcBorders>
              <w:bottom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9"/>
              </w:rPr>
              <w:t>2022-2036</w:t>
            </w:r>
          </w:p>
        </w:tc>
        <w:tc>
          <w:tcPr>
            <w:tcW w:w="3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36,587</w:t>
            </w: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17,860</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17,772</w:t>
            </w: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1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2,847,317</w:t>
            </w:r>
          </w:p>
        </w:tc>
        <w:tc>
          <w:tcPr>
            <w:tcW w:w="28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2,807,046</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2,911,069</w:t>
            </w:r>
          </w:p>
        </w:tc>
      </w:tr>
      <w:tr>
        <w:trPr>
          <w:trHeight w:val="229"/>
        </w:trPr>
        <w:tc>
          <w:tcPr>
            <w:tcW w:w="52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Unamortized premiums, discounts and debt issuance costs </w:t>
            </w:r>
            <w:r>
              <w:rPr>
                <w:rFonts w:ascii="Times New Roman" w:cs="Times New Roman" w:eastAsia="Times New Roman" w:hAnsi="Times New Roman"/>
                <w:sz w:val="23"/>
                <w:szCs w:val="23"/>
                <w:color w:val="auto"/>
                <w:vertAlign w:val="superscript"/>
              </w:rPr>
              <w:t>(b)</w:t>
            </w:r>
          </w:p>
        </w:tc>
        <w:tc>
          <w:tcPr>
            <w:tcW w:w="1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9,808</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72,997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91,691</w:t>
            </w:r>
          </w:p>
        </w:tc>
      </w:tr>
      <w:tr>
        <w:trPr>
          <w:trHeight w:val="229"/>
        </w:trPr>
        <w:tc>
          <w:tcPr>
            <w:tcW w:w="522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Less: Current maturities </w:t>
            </w:r>
            <w:r>
              <w:rPr>
                <w:rFonts w:ascii="Times New Roman" w:cs="Times New Roman" w:eastAsia="Times New Roman" w:hAnsi="Times New Roman"/>
                <w:sz w:val="23"/>
                <w:szCs w:val="23"/>
                <w:color w:val="auto"/>
                <w:vertAlign w:val="superscript"/>
              </w:rPr>
              <w:t>(f)</w:t>
            </w:r>
          </w:p>
        </w:tc>
        <w:tc>
          <w:tcPr>
            <w:tcW w:w="14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67,811</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63,749</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114,795</w:t>
            </w:r>
          </w:p>
        </w:tc>
      </w:tr>
      <w:tr>
        <w:trPr>
          <w:trHeight w:val="248"/>
        </w:trPr>
        <w:tc>
          <w:tcPr>
            <w:tcW w:w="52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Long-term debt, net</w:t>
            </w:r>
          </w:p>
        </w:tc>
        <w:tc>
          <w:tcPr>
            <w:tcW w:w="1400" w:type="dxa"/>
            <w:vAlign w:val="bottom"/>
            <w:tcBorders>
              <w:bottom w:val="single" w:sz="8" w:color="auto"/>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2,769,698</w:t>
            </w: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2,670,300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2,704,583</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jc w:val="both"/>
        <w:ind w:left="580" w:hanging="329"/>
        <w:spacing w:after="0" w:line="256" w:lineRule="auto"/>
        <w:tabs>
          <w:tab w:leader="none" w:pos="57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31, 2022, Vail Holdings, Inc. (“VHI”) entered into the Fifth Amendment to the Vail Holdings Credit Agreement, which extended the maturity date to September 23, 2026. Additionally, the Fifth Amendment contains customary LIBOR replacement language, including, but not limited to, the use of rates based on the secured overnight financing rate (“SOFR”). SOFR is a broad measure of the cost of borrowing cash in the overnight U.S. Treasury repo market and is administered by the Federal Reserve Bank of New York. The Fifth Amendment modified the calculation of interest under the Vail Holdings Credit Agreement from being calculated based on LIBOR to being calculated based on SOFR. No other material terms of the Vail Holdings Credit Agreement were amended.</w:t>
      </w:r>
    </w:p>
    <w:p>
      <w:pPr>
        <w:spacing w:after="0" w:line="214" w:lineRule="exact"/>
        <w:rPr>
          <w:rFonts w:ascii="Times New Roman" w:cs="Times New Roman" w:eastAsia="Times New Roman" w:hAnsi="Times New Roman"/>
          <w:sz w:val="18"/>
          <w:szCs w:val="18"/>
          <w:color w:val="auto"/>
        </w:rPr>
      </w:pPr>
    </w:p>
    <w:p>
      <w:pPr>
        <w:jc w:val="both"/>
        <w:ind w:left="5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party to various interest rate swap agreements which hedge the SOFR-based variable interest rate component of underlying cash flows of $400.0 million in principal amount of its Vail Holdings Credit Agreement until September 23, 2024. In association with the Fifth Amendment, these interest rate swaps were amended to transition from a hedge of LIBOR to a hedge of SOFR.</w:t>
      </w:r>
    </w:p>
    <w:p>
      <w:pPr>
        <w:spacing w:after="0" w:line="202" w:lineRule="exact"/>
        <w:rPr>
          <w:rFonts w:ascii="Times New Roman" w:cs="Times New Roman" w:eastAsia="Times New Roman" w:hAnsi="Times New Roman"/>
          <w:sz w:val="18"/>
          <w:szCs w:val="18"/>
          <w:color w:val="auto"/>
        </w:rPr>
      </w:pPr>
    </w:p>
    <w:p>
      <w:pPr>
        <w:jc w:val="both"/>
        <w:ind w:left="5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31, 2022, the Vail Holdings Credit Agreement consists of a $500.0 million revolving credit facility and a term loan facility with $1.1 billion outstanding. The term loan facility is subject to quarterly amortization of principal of approximately $15.6 million, in equal installments, for a total of 5% of principal payable in each year and the final payment of all amounts outstanding, plus accrued and unpaid interest due in September 2026.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SOFR plus a spread of 0.1% plus 1.25% as of October 31, 2022 (5.08% as of October 31, 2022).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(0.25% as of October 31, 2022).</w:t>
      </w:r>
    </w:p>
    <w:p>
      <w:pPr>
        <w:spacing w:after="0" w:line="205" w:lineRule="exact"/>
        <w:rPr>
          <w:rFonts w:ascii="Times New Roman" w:cs="Times New Roman" w:eastAsia="Times New Roman" w:hAnsi="Times New Roman"/>
          <w:sz w:val="18"/>
          <w:szCs w:val="18"/>
          <w:color w:val="auto"/>
        </w:rPr>
      </w:pPr>
    </w:p>
    <w:p>
      <w:pPr>
        <w:jc w:val="both"/>
        <w:ind w:left="580" w:hanging="329"/>
        <w:spacing w:after="0" w:line="238" w:lineRule="auto"/>
        <w:tabs>
          <w:tab w:leader="none" w:pos="5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issued $575.0 million in aggregate principal amount of 0.0% Convertible Notes due 2026 (the “0.0% Convertible Notes) under an indenture dated December 18, 2020. Under previous accounting guidance, the Company bifurcated the proceeds of the 0.0% Convertible Notes by estimating the fair value of the 0.0% Convertible Notes at issuance and allocating that portion to long-term debt, net, with the excess being recorded within additional paid-in capital. The Company adopted ASU 2020-06 on August 1, 2022 using the modified retrospective method, and as a result, the Company reclassified the equity component of its 0.0% Convertible Notes to long-term debt, net, and will no longer record non-cash interest expense related to the amortization of the debt discount. Refer to Note 2, Summary of</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ind w:left="329"/>
        <w:spacing w:after="0" w:line="266" w:lineRule="auto"/>
        <w:rPr>
          <w:sz w:val="20"/>
          <w:szCs w:val="20"/>
          <w:color w:val="auto"/>
        </w:rPr>
      </w:pPr>
      <w:r>
        <w:rPr>
          <w:rFonts w:ascii="Times New Roman" w:cs="Times New Roman" w:eastAsia="Times New Roman" w:hAnsi="Times New Roman"/>
          <w:sz w:val="18"/>
          <w:szCs w:val="18"/>
          <w:color w:val="auto"/>
        </w:rPr>
        <w:t>Significant Accounting Policies, for further information on ASU 2020-06. As of October 31, 2022, the conversion price of the 0.0% Convertible Notes, adjusted for cash dividends paid since the issuance date, was $395.11.</w:t>
      </w:r>
    </w:p>
    <w:p>
      <w:pPr>
        <w:spacing w:after="0" w:line="203" w:lineRule="exact"/>
        <w:rPr>
          <w:sz w:val="20"/>
          <w:szCs w:val="20"/>
          <w:color w:val="auto"/>
        </w:rPr>
      </w:pPr>
    </w:p>
    <w:p>
      <w:pPr>
        <w:jc w:val="both"/>
        <w:ind w:left="329" w:hanging="329"/>
        <w:spacing w:after="0" w:line="254" w:lineRule="auto"/>
        <w:tabs>
          <w:tab w:leader="none" w:pos="3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Whistler Mountain Resort Limited Partnership (“Whistler LP”) and Blackcomb Skiing Enterprises Limited Partnership (“Blackcomb LP”), together “The WB Partnerships,” are party to a credit agreement, dated as of November 12, 2013 (as amended, the “Whistler Credit Agreement”), by and among Whistler LP, Blackcomb LP, certain subsidiaries of Whistler LP and Blackcomb LP party thereto as guarantors (the “Whistler Subsidiary Guarantors”), the financial institutions party thereto as lenders and The Toronto-Dominion Bank, as administrative agent. The Whistler Credit Agreement consists of a C$300.0 million revolving credit facility. As of October 31, 2022, all borrowings under the Whistler Credit Agreement were made in Canadian dollars and by way of the issuance of bankers’ acceptances plus 1.75% (approximately 5.98% as of October 31, 2022). The Whistler Credit Agreement also includes a quarterly unused commitment fee based on the Consolidated Total Leverage Ratio, which as of October 31, 2022 is equal to 0.39% per annum.</w:t>
      </w:r>
    </w:p>
    <w:p>
      <w:pPr>
        <w:spacing w:after="0" w:line="218" w:lineRule="exact"/>
        <w:rPr>
          <w:rFonts w:ascii="Times New Roman" w:cs="Times New Roman" w:eastAsia="Times New Roman" w:hAnsi="Times New Roman"/>
          <w:sz w:val="18"/>
          <w:szCs w:val="18"/>
          <w:color w:val="auto"/>
        </w:rPr>
      </w:pPr>
    </w:p>
    <w:p>
      <w:pPr>
        <w:jc w:val="both"/>
        <w:ind w:left="329" w:hanging="329"/>
        <w:spacing w:after="0" w:line="266" w:lineRule="auto"/>
        <w:tabs>
          <w:tab w:leader="none" w:pos="32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24,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66" w:lineRule="exact"/>
        <w:rPr>
          <w:sz w:val="20"/>
          <w:szCs w:val="20"/>
          <w:color w:val="auto"/>
        </w:rPr>
      </w:pPr>
    </w:p>
    <w:p>
      <w:pPr>
        <w:ind w:left="969" w:hanging="416"/>
        <w:spacing w:after="0" w:line="284" w:lineRule="auto"/>
        <w:tabs>
          <w:tab w:leader="none" w:pos="96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Alpine Valley Secured Note. </w:t>
      </w:r>
      <w:r>
        <w:rPr>
          <w:rFonts w:ascii="Times New Roman" w:cs="Times New Roman" w:eastAsia="Times New Roman" w:hAnsi="Times New Roman"/>
          <w:sz w:val="18"/>
          <w:szCs w:val="18"/>
          <w:color w:val="auto"/>
        </w:rPr>
        <w:t>The $4.6 million Alpine Valley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October 31, 2022, interest on this note accrued at a rate of 11.55%.</w:t>
      </w:r>
    </w:p>
    <w:p>
      <w:pPr>
        <w:spacing w:after="0" w:line="50" w:lineRule="exact"/>
        <w:rPr>
          <w:sz w:val="20"/>
          <w:szCs w:val="20"/>
          <w:color w:val="auto"/>
        </w:rPr>
      </w:pPr>
    </w:p>
    <w:p>
      <w:pPr>
        <w:ind w:left="969" w:hanging="440"/>
        <w:spacing w:after="0" w:line="284" w:lineRule="auto"/>
        <w:tabs>
          <w:tab w:leader="none" w:pos="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Boston Mills/Brandywine Secured Note. </w:t>
      </w:r>
      <w:r>
        <w:rPr>
          <w:rFonts w:ascii="Times New Roman" w:cs="Times New Roman" w:eastAsia="Times New Roman" w:hAnsi="Times New Roman"/>
          <w:sz w:val="18"/>
          <w:szCs w:val="18"/>
          <w:color w:val="auto"/>
        </w:rPr>
        <w:t>The $23.3 million Boston Mills/Brandywine Secured Note provides for interest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its maturity on December 1, 2034. As of October 31, 2022, interest on this note accrued at a rate of 11.24%.</w:t>
      </w:r>
    </w:p>
    <w:p>
      <w:pPr>
        <w:spacing w:after="0" w:line="50" w:lineRule="exact"/>
        <w:rPr>
          <w:rFonts w:ascii="Times New Roman" w:cs="Times New Roman" w:eastAsia="Times New Roman" w:hAnsi="Times New Roman"/>
          <w:sz w:val="18"/>
          <w:szCs w:val="18"/>
          <w:color w:val="auto"/>
        </w:rPr>
      </w:pPr>
    </w:p>
    <w:p>
      <w:pPr>
        <w:ind w:left="969" w:right="20" w:hanging="490"/>
        <w:spacing w:after="0" w:line="284" w:lineRule="auto"/>
        <w:tabs>
          <w:tab w:leader="none" w:pos="9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Jack Frost/Big Boulder Secured Note. </w:t>
      </w:r>
      <w:r>
        <w:rPr>
          <w:rFonts w:ascii="Times New Roman" w:cs="Times New Roman" w:eastAsia="Times New Roman" w:hAnsi="Times New Roman"/>
          <w:sz w:val="18"/>
          <w:szCs w:val="18"/>
          <w:color w:val="auto"/>
        </w:rPr>
        <w:t>The $14.3 million Jack Frost/Big Boulder Secured Note provides for interest payments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maturity on December 1, 2034. As of October 31, 2022, interest on this note accrued at a rate of 11.24%.</w:t>
      </w:r>
    </w:p>
    <w:p>
      <w:pPr>
        <w:spacing w:after="0" w:line="50" w:lineRule="exact"/>
        <w:rPr>
          <w:rFonts w:ascii="Times New Roman" w:cs="Times New Roman" w:eastAsia="Times New Roman" w:hAnsi="Times New Roman"/>
          <w:sz w:val="18"/>
          <w:szCs w:val="18"/>
          <w:color w:val="auto"/>
        </w:rPr>
      </w:pPr>
    </w:p>
    <w:p>
      <w:pPr>
        <w:ind w:left="969" w:hanging="415"/>
        <w:spacing w:after="0" w:line="284" w:lineRule="auto"/>
        <w:tabs>
          <w:tab w:leader="none" w:pos="9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Mount Snow Secured Note. </w:t>
      </w:r>
      <w:r>
        <w:rPr>
          <w:rFonts w:ascii="Times New Roman" w:cs="Times New Roman" w:eastAsia="Times New Roman" w:hAnsi="Times New Roman"/>
          <w:sz w:val="18"/>
          <w:szCs w:val="18"/>
          <w:color w:val="auto"/>
        </w:rPr>
        <w:t>The $51.1 million Mount Snow Secured Note provides for interest payments through its maturity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1, 2034. As of October 31, 2022, interest on this note accrued at a rate of 12.14%.</w:t>
      </w:r>
    </w:p>
    <w:p>
      <w:pPr>
        <w:spacing w:after="0" w:line="50" w:lineRule="exact"/>
        <w:rPr>
          <w:rFonts w:ascii="Times New Roman" w:cs="Times New Roman" w:eastAsia="Times New Roman" w:hAnsi="Times New Roman"/>
          <w:sz w:val="18"/>
          <w:szCs w:val="18"/>
          <w:color w:val="auto"/>
        </w:rPr>
      </w:pPr>
    </w:p>
    <w:p>
      <w:pPr>
        <w:ind w:left="969" w:right="20" w:hanging="365"/>
        <w:spacing w:after="0" w:line="284" w:lineRule="auto"/>
        <w:tabs>
          <w:tab w:leader="none" w:pos="95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Hunter Mountain Secured Note. </w:t>
      </w:r>
      <w:r>
        <w:rPr>
          <w:rFonts w:ascii="Times New Roman" w:cs="Times New Roman" w:eastAsia="Times New Roman" w:hAnsi="Times New Roman"/>
          <w:sz w:val="18"/>
          <w:szCs w:val="18"/>
          <w:color w:val="auto"/>
        </w:rPr>
        <w:t>The $21.0 million Hunter Mountain Secured Note provides for interest payments through its maturity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5, 2036. As of October 31, 2022, interest on this note accrued at a rate of 8.88%.</w:t>
      </w:r>
    </w:p>
    <w:p>
      <w:pPr>
        <w:spacing w:after="0" w:line="52" w:lineRule="exact"/>
        <w:rPr>
          <w:sz w:val="20"/>
          <w:szCs w:val="20"/>
          <w:color w:val="auto"/>
        </w:rPr>
      </w:pPr>
    </w:p>
    <w:p>
      <w:pPr>
        <w:jc w:val="both"/>
        <w:ind w:left="329"/>
        <w:spacing w:after="0" w:line="266" w:lineRule="auto"/>
        <w:rPr>
          <w:sz w:val="20"/>
          <w:szCs w:val="20"/>
          <w:color w:val="auto"/>
        </w:rPr>
      </w:pPr>
      <w:r>
        <w:rPr>
          <w:rFonts w:ascii="Times New Roman" w:cs="Times New Roman" w:eastAsia="Times New Roman" w:hAnsi="Times New Roman"/>
          <w:sz w:val="18"/>
          <w:szCs w:val="18"/>
          <w:color w:val="auto"/>
        </w:rPr>
        <w:t>In addition, Peak Resorts is required to maintain a debt service reserve account which amounts are applied to fund interest payments and other amounts due and payable to EPR. As of October 31, 2022, the Company had funded the EPR debt service reserve account in an amount equal to approximately $2.1 million, which was included in other current assets in the Company’s Consolidated Condensed Balance Sheet.</w:t>
      </w:r>
    </w:p>
    <w:p>
      <w:pPr>
        <w:spacing w:after="0" w:line="189" w:lineRule="exact"/>
        <w:rPr>
          <w:sz w:val="20"/>
          <w:szCs w:val="20"/>
          <w:color w:val="auto"/>
        </w:rPr>
      </w:pPr>
    </w:p>
    <w:p>
      <w:pPr>
        <w:jc w:val="both"/>
        <w:ind w:left="329" w:hanging="329"/>
        <w:spacing w:after="0" w:line="211" w:lineRule="exact"/>
        <w:tabs>
          <w:tab w:leader="none" w:pos="323" w:val="left"/>
        </w:tabs>
        <w:numPr>
          <w:ilvl w:val="0"/>
          <w:numId w:val="10"/>
        </w:numPr>
        <w:rPr>
          <w:rFonts w:ascii="Calibri" w:cs="Calibri" w:eastAsia="Calibri" w:hAnsi="Calibri"/>
          <w:sz w:val="20"/>
          <w:szCs w:val="20"/>
          <w:color w:val="auto"/>
        </w:rPr>
      </w:pPr>
      <w:r>
        <w:rPr>
          <w:rFonts w:ascii="Times New Roman" w:cs="Times New Roman" w:eastAsia="Times New Roman" w:hAnsi="Times New Roman"/>
          <w:sz w:val="18"/>
          <w:szCs w:val="18"/>
          <w:color w:val="auto"/>
        </w:rPr>
        <w:t>On August 3, 2022 in conjunction with the acquisition of Andermatt-Sedrun (see Note 6, Acquisitions), the Company assumed the New Regional Policy loan between Andermatt-Sedrun and the Canton of Uri and Canton of Graub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nden dated June 24, 2016 (the “NRP Loan”), with an initial principal balance of CHF 40.0 million. Amounts outstanding under the NRP Loan bear interest at 0.63% per annum until the maturity date, which is September 30, 2036, with semi-annual required payments of principal amortization and accrued interest. In addition, the NRP Loan agreement includes restrictive covenants requiring certain minimum financial results (as defined in the agreement).</w:t>
      </w:r>
    </w:p>
    <w:p>
      <w:pPr>
        <w:spacing w:after="0" w:line="228" w:lineRule="exact"/>
        <w:rPr>
          <w:rFonts w:ascii="Calibri" w:cs="Calibri" w:eastAsia="Calibri" w:hAnsi="Calibri"/>
          <w:sz w:val="20"/>
          <w:szCs w:val="20"/>
          <w:color w:val="auto"/>
        </w:rPr>
      </w:pPr>
    </w:p>
    <w:p>
      <w:pPr>
        <w:ind w:left="309" w:hanging="309"/>
        <w:spacing w:after="0"/>
        <w:tabs>
          <w:tab w:leader="none" w:pos="309"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maturities represent principal payments due in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31"/>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7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Aggregate maturities of debt outstanding as of October 31, 2022 reflected by fiscal year (August 1 through July 31) are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26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634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 (November 2022 through July 2023)</w:t>
            </w:r>
          </w:p>
        </w:tc>
        <w:tc>
          <w:tcPr>
            <w:tcW w:w="36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57,111</w:t>
            </w:r>
          </w:p>
        </w:tc>
      </w:tr>
      <w:tr>
        <w:trPr>
          <w:trHeight w:val="229"/>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3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69,054</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668,394</w:t>
            </w:r>
          </w:p>
        </w:tc>
      </w:tr>
      <w:tr>
        <w:trPr>
          <w:trHeight w:val="230"/>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642,712</w:t>
            </w:r>
          </w:p>
        </w:tc>
      </w:tr>
      <w:tr>
        <w:trPr>
          <w:trHeight w:val="229"/>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855,036</w:t>
            </w:r>
          </w:p>
        </w:tc>
      </w:tr>
      <w:tr>
        <w:trPr>
          <w:trHeight w:val="229"/>
        </w:trPr>
        <w:tc>
          <w:tcPr>
            <w:tcW w:w="6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555,010</w:t>
            </w:r>
          </w:p>
        </w:tc>
      </w:tr>
      <w:tr>
        <w:trPr>
          <w:trHeight w:val="248"/>
        </w:trPr>
        <w:tc>
          <w:tcPr>
            <w:tcW w:w="634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36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2,847,317</w:t>
            </w:r>
          </w:p>
        </w:tc>
      </w:tr>
      <w:tr>
        <w:trPr>
          <w:trHeight w:val="20"/>
        </w:trPr>
        <w:tc>
          <w:tcPr>
            <w:tcW w:w="6340" w:type="dxa"/>
            <w:vAlign w:val="bottom"/>
            <w:tcBorders>
              <w:top w:val="single" w:sz="8" w:color="CCEEFF"/>
              <w:bottom w:val="single" w:sz="8" w:color="auto"/>
            </w:tcBorders>
          </w:tcPr>
          <w:p>
            <w:pPr>
              <w:spacing w:after="0" w:line="20" w:lineRule="exact"/>
              <w:rPr>
                <w:sz w:val="1"/>
                <w:szCs w:val="1"/>
                <w:color w:val="auto"/>
              </w:rPr>
            </w:pPr>
          </w:p>
        </w:tc>
        <w:tc>
          <w:tcPr>
            <w:tcW w:w="36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interest expense of $35.3 million and $39.5 million for the three months ended October 31, 2022 and 2021, respectively, of which $1.6 million and $1.4 million, respectively, was amortization of deferred financing costs. The Company was in compliance with all of its financial and operating covenants required to be maintained under its debt instruments for all periods presented.</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acquisition of Whistler Blackcomb, VHI funded a portion of the purchase price through an intercompany loan to Whistler Blackcomb of $210.0 million,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$(6.1) million and $0.8 million, respectively, of non-cash foreign currency (losses) gains on the intercompany loan to Whistler Blackcomb for the three months ended October 31, 2022 and 2021 on the Company’s Consolidated Condensed Statements of Operations.</w:t>
      </w:r>
    </w:p>
    <w:p>
      <w:pPr>
        <w:spacing w:after="0" w:line="21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Andermatt-Sedrun</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3, 2022, through a wholly-owned subsidiary, the Company acquired a 55% controlling interest in Andermatt-Sedrun Sport AG (“Andermatt-Sedrun”) from Andermatt Swiss Alps AG (“ASA”). The consideration paid consisted of an investment of $114.4 million (CHF 110.0 million) into Andermatt-Sedrun for use in capital investments to enhance the guest experience on mountain (which was prepaid to fund the acquisition and was recorded in other current assets on the Company’s Consolidated Condensed Balance Sheet as of July 31, 2022) and $41.3 million (CHF 39.3 million) paid to ASA (which was paid on August 3, 2022, commensurate with closing). As of August 3, 2022 the total fair value of the consideration paid was $155.4 million (CHF 149.3 million).</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Andermatt-Sedrun operates mountain and ski-related assets, including lifts, most of the restaurants and a ski school operation at the ski area. Ski operations are conducted on land owned by ASA as freehold or leasehold properties, land owned by Usern Corporation, land owned by the municipality of Tujetsch and land owned by private property owners. ASA retained a 40% ownership stake, with a group of existing shareholders comprising the remaining 5% ownership stake. ASA and the other noncontrolling economic interests contain certain protective rights pursuant to a shareholder agreement (the “Andermatt Agreement”) and no ability to participate in the day-to-day operations of Andermatt-Sedrun. The Andermatt Agreement provides that no dividend distributions be made by Andermatt-Sedrun until the end of the fiscal year ending July 31, 2026, after which time there shall be annual distributions of 50% of the available cash (as defined in the Andermatt Agreement) for the most recently completed fiscal year. In addition, the distribution rights are non-transferable and transfer of the noncontrolling interests are limited.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5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5"/>
        </w:trPr>
        <w:tc>
          <w:tcPr>
            <w:tcW w:w="678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consideration paid by Vail Resorts, Inc.</w:t>
            </w:r>
          </w:p>
        </w:tc>
        <w:tc>
          <w:tcPr>
            <w:tcW w:w="2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155,365</w:t>
            </w:r>
          </w:p>
        </w:tc>
      </w:tr>
      <w:tr>
        <w:trPr>
          <w:trHeight w:val="229"/>
        </w:trPr>
        <w:tc>
          <w:tcPr>
            <w:tcW w:w="6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Estimated fair value of noncontrolling interests</w:t>
            </w:r>
          </w:p>
        </w:tc>
        <w:tc>
          <w:tcPr>
            <w:tcW w:w="29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91,524</w:t>
            </w:r>
          </w:p>
        </w:tc>
      </w:tr>
      <w:tr>
        <w:trPr>
          <w:trHeight w:val="248"/>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estimated purchase consideration</w:t>
            </w:r>
          </w:p>
        </w:tc>
        <w:tc>
          <w:tcPr>
            <w:tcW w:w="2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246,889</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Allocation of total estimated purchase consideration:</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119,867</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176,805</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other assets</w:t>
            </w:r>
          </w:p>
        </w:tc>
        <w:tc>
          <w:tcPr>
            <w:tcW w:w="29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w:t>
            </w:r>
          </w:p>
        </w:tc>
      </w:tr>
      <w:tr>
        <w:trPr>
          <w:trHeight w:val="229"/>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long-term debt</w:t>
            </w:r>
          </w:p>
        </w:tc>
        <w:tc>
          <w:tcPr>
            <w:tcW w:w="29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(44,130)</w:t>
            </w:r>
          </w:p>
        </w:tc>
      </w:tr>
      <w:tr>
        <w:trPr>
          <w:trHeight w:val="230"/>
        </w:trPr>
        <w:tc>
          <w:tcPr>
            <w:tcW w:w="6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9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w:t>
            </w:r>
          </w:p>
        </w:tc>
      </w:tr>
      <w:tr>
        <w:trPr>
          <w:trHeight w:val="223"/>
        </w:trPr>
        <w:tc>
          <w:tcPr>
            <w:tcW w:w="6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246,889</w:t>
            </w:r>
          </w:p>
        </w:tc>
      </w:tr>
      <w:tr>
        <w:trPr>
          <w:trHeight w:val="21"/>
        </w:trPr>
        <w:tc>
          <w:tcPr>
            <w:tcW w:w="678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operating results of Andermatt-Sedrun are reported within the Mountain segment prospectively from the date of acquisition.</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Seven Springs Mountain Resort, Hidden Valley Resort &amp; Laurel Mountain Ski Area</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31, 2021, the Company, through a wholly-owned subsidiary, acquired Seven Springs Mountain Resort, Hidden Valley Resort and Laurel Mountain Ski Area (together, the “Seven Springs Resorts”) in Pennsylvania from Seven Springs Mountain Resort, Inc. and its affiliates for a cash purchase price of approximately $116.5 million, after adjustments for certain agreed-upon terms, which the Company funded with cash on hand. The acquisition included the mountain operations of the resorts, including base area skier services (food and beverage, retail and rental, lift ticket offices and ski and snowboard school facilities), as well as a hotel, conference center and other related operations.</w:t>
      </w:r>
    </w:p>
    <w:p>
      <w:pPr>
        <w:spacing w:after="0" w:line="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150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Acquisition Date</w:t>
            </w:r>
          </w:p>
        </w:tc>
      </w:tr>
      <w:tr>
        <w:trPr>
          <w:trHeight w:val="196"/>
        </w:trPr>
        <w:tc>
          <w:tcPr>
            <w:tcW w:w="64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118,415</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3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Identifiable intangible assets and other assets</w:t>
            </w:r>
          </w:p>
        </w:tc>
        <w:tc>
          <w:tcPr>
            <w:tcW w:w="33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3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(15,172)</w:t>
            </w:r>
          </w:p>
        </w:tc>
      </w:tr>
      <w:tr>
        <w:trPr>
          <w:trHeight w:val="223"/>
        </w:trPr>
        <w:tc>
          <w:tcPr>
            <w:tcW w:w="64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Net assets acquired</w:t>
            </w:r>
          </w:p>
        </w:tc>
        <w:tc>
          <w:tcPr>
            <w:tcW w:w="3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116,501</w:t>
            </w:r>
          </w:p>
        </w:tc>
      </w:tr>
      <w:tr>
        <w:trPr>
          <w:trHeight w:val="20"/>
        </w:trPr>
        <w:tc>
          <w:tcPr>
            <w:tcW w:w="644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Identifiable intangible assets acquired in the transaction were primarily related to advanced lodging bookings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recognized $2.8 million of acquisition related expenses associated with the transaction within Mountain and Lodging operating expense for the year ended July 31, 2022. The operating results of the acquired resorts are reported within the Mountain and Lodging segments prospectively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The estimated fair values of assets acquired and liabilities assumed for Andermatt-Sedrun and the Seven Springs Resorts are preliminary and are based on the information that was available as of the respective acquisition dates.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20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follows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320" w:type="dxa"/>
            <w:vAlign w:val="bottom"/>
          </w:tcPr>
          <w:p>
            <w:pPr>
              <w:spacing w:after="0"/>
              <w:rPr>
                <w:sz w:val="16"/>
                <w:szCs w:val="16"/>
                <w:color w:val="auto"/>
              </w:rPr>
            </w:pPr>
          </w:p>
        </w:tc>
        <w:tc>
          <w:tcPr>
            <w:tcW w:w="14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60" w:type="dxa"/>
            <w:vAlign w:val="bottom"/>
          </w:tcPr>
          <w:p>
            <w:pPr>
              <w:spacing w:after="0"/>
              <w:rPr>
                <w:sz w:val="16"/>
                <w:szCs w:val="16"/>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3"/>
        </w:trPr>
        <w:tc>
          <w:tcPr>
            <w:tcW w:w="6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780,977</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763,432</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757,625</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1,574,931</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1,545,571</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1,492,863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1,594,588</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1,505,236</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1,422,110</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316,350</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307,867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309,119</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139,522</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138,058</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123,228</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Vehicles</w:t>
            </w: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82,239</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81,927</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80,921</w:t>
            </w:r>
          </w:p>
        </w:tc>
      </w:tr>
      <w:tr>
        <w:trPr>
          <w:trHeight w:val="229"/>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221,990</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127,282</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113,854</w:t>
            </w:r>
          </w:p>
        </w:tc>
      </w:tr>
      <w:tr>
        <w:trPr>
          <w:trHeight w:val="223"/>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4,710,597</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4,469,373</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4,299,720</w:t>
            </w:r>
          </w:p>
        </w:tc>
      </w:tr>
      <w:tr>
        <w:trPr>
          <w:trHeight w:val="229"/>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(2,397,536)</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(2,351,321)</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(2,237,398)</w:t>
            </w:r>
          </w:p>
        </w:tc>
      </w:tr>
      <w:tr>
        <w:trPr>
          <w:trHeight w:val="223"/>
        </w:trPr>
        <w:tc>
          <w:tcPr>
            <w:tcW w:w="6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2,313,061</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2,118,052</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2,062,322</w:t>
            </w:r>
          </w:p>
        </w:tc>
      </w:tr>
      <w:tr>
        <w:trPr>
          <w:trHeight w:val="21"/>
        </w:trPr>
        <w:tc>
          <w:tcPr>
            <w:tcW w:w="6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3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The composition of accounts payable and accrued liabilities follows (in thousands):</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01"/>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October 31, 2022</w:t>
            </w:r>
          </w:p>
        </w:tc>
        <w:tc>
          <w:tcPr>
            <w:tcW w:w="320" w:type="dxa"/>
            <w:vAlign w:val="bottom"/>
          </w:tcPr>
          <w:p>
            <w:pPr>
              <w:spacing w:after="0"/>
              <w:rPr>
                <w:sz w:val="24"/>
                <w:szCs w:val="24"/>
                <w:color w:val="auto"/>
              </w:rPr>
            </w:pPr>
          </w:p>
        </w:tc>
        <w:tc>
          <w:tcPr>
            <w:tcW w:w="1440" w:type="dxa"/>
            <w:vAlign w:val="bottom"/>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July 31, 2022</w:t>
            </w:r>
          </w:p>
        </w:tc>
        <w:tc>
          <w:tcPr>
            <w:tcW w:w="260" w:type="dxa"/>
            <w:vAlign w:val="bottom"/>
          </w:tcPr>
          <w:p>
            <w:pPr>
              <w:spacing w:after="0"/>
              <w:rPr>
                <w:sz w:val="24"/>
                <w:szCs w:val="24"/>
                <w:color w:val="auto"/>
              </w:rPr>
            </w:pPr>
          </w:p>
        </w:tc>
        <w:tc>
          <w:tcPr>
            <w:tcW w:w="14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October 31, 2021</w:t>
            </w:r>
          </w:p>
        </w:tc>
      </w:tr>
      <w:tr>
        <w:trPr>
          <w:trHeight w:val="23"/>
        </w:trPr>
        <w:tc>
          <w:tcPr>
            <w:tcW w:w="6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162,366</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151,263</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116,501</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787,514</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511,306</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743,809</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salaries, wages and deferred compensation</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41,239</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64,570</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43,773</w:t>
            </w: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benefits</w:t>
            </w: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44,008</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45,202</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45,439</w:t>
            </w: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35,491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37,731</w:t>
            </w: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43,875</w:t>
            </w: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35,331</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34,218</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36,036</w:t>
            </w:r>
          </w:p>
        </w:tc>
      </w:tr>
      <w:tr>
        <w:trPr>
          <w:trHeight w:val="230"/>
        </w:trPr>
        <w:tc>
          <w:tcPr>
            <w:tcW w:w="60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84,573</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98,540</w:t>
            </w: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80,219</w:t>
            </w:r>
          </w:p>
        </w:tc>
      </w:tr>
      <w:tr>
        <w:trPr>
          <w:trHeight w:val="223"/>
        </w:trPr>
        <w:tc>
          <w:tcPr>
            <w:tcW w:w="6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accounts payable and accrued liabilities</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1,190,522</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942,830</w:t>
            </w: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1,109,652</w:t>
            </w:r>
          </w:p>
        </w:tc>
      </w:tr>
      <w:tr>
        <w:trPr>
          <w:trHeight w:val="20"/>
        </w:trPr>
        <w:tc>
          <w:tcPr>
            <w:tcW w:w="6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changes in the net carrying amount of goodwill allocated between the Company’s segments for the three months ended October 31, 2022 are as follows (in thousands):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38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Mountain</w:t>
            </w:r>
          </w:p>
        </w:tc>
        <w:tc>
          <w:tcPr>
            <w:tcW w:w="400" w:type="dxa"/>
            <w:vAlign w:val="bottom"/>
          </w:tcPr>
          <w:p>
            <w:pPr>
              <w:spacing w:after="0"/>
              <w:rPr>
                <w:sz w:val="16"/>
                <w:szCs w:val="16"/>
                <w:color w:val="auto"/>
              </w:rPr>
            </w:pPr>
          </w:p>
        </w:tc>
        <w:tc>
          <w:tcPr>
            <w:tcW w:w="13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Lodging</w:t>
            </w:r>
          </w:p>
        </w:tc>
        <w:tc>
          <w:tcPr>
            <w:tcW w:w="34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Goodwill, net</w:t>
            </w:r>
          </w:p>
        </w:tc>
      </w:tr>
      <w:tr>
        <w:trPr>
          <w:trHeight w:val="23"/>
        </w:trPr>
        <w:tc>
          <w:tcPr>
            <w:tcW w:w="5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31, 2022</w:t>
            </w:r>
          </w:p>
        </w:tc>
        <w:tc>
          <w:tcPr>
            <w:tcW w:w="1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1,709,922</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45,006</w:t>
            </w:r>
          </w:p>
        </w:tc>
        <w:tc>
          <w:tcPr>
            <w:tcW w:w="34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1,754,928</w:t>
            </w:r>
          </w:p>
        </w:tc>
      </w:tr>
      <w:tr>
        <w:trPr>
          <w:trHeight w:val="23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400" w:type="dxa"/>
            <w:vAlign w:val="bottom"/>
          </w:tcPr>
          <w:p>
            <w:pPr>
              <w:spacing w:after="0"/>
              <w:rPr>
                <w:sz w:val="19"/>
                <w:szCs w:val="19"/>
                <w:color w:val="auto"/>
              </w:rPr>
            </w:pPr>
          </w:p>
        </w:tc>
        <w:tc>
          <w:tcPr>
            <w:tcW w:w="13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1,363</w:t>
            </w:r>
          </w:p>
        </w:tc>
        <w:tc>
          <w:tcPr>
            <w:tcW w:w="400" w:type="dxa"/>
            <w:vAlign w:val="bottom"/>
          </w:tcPr>
          <w:p>
            <w:pPr>
              <w:spacing w:after="0"/>
              <w:rPr>
                <w:sz w:val="19"/>
                <w:szCs w:val="19"/>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r>
      <w:tr>
        <w:trPr>
          <w:trHeight w:val="230"/>
        </w:trPr>
        <w:tc>
          <w:tcPr>
            <w:tcW w:w="5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changes in foreign currency exchange rates</w:t>
            </w:r>
          </w:p>
        </w:tc>
        <w:tc>
          <w:tcPr>
            <w:tcW w:w="14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(67,560)</w:t>
            </w:r>
          </w:p>
        </w:tc>
        <w:tc>
          <w:tcPr>
            <w:tcW w:w="4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(67,560)</w:t>
            </w:r>
          </w:p>
        </w:tc>
      </w:tr>
      <w:tr>
        <w:trPr>
          <w:trHeight w:val="223"/>
        </w:trPr>
        <w:tc>
          <w:tcPr>
            <w:tcW w:w="5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4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1,643,725</w:t>
            </w:r>
          </w:p>
        </w:tc>
        <w:tc>
          <w:tcPr>
            <w:tcW w:w="4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45,006</w:t>
            </w:r>
          </w:p>
        </w:tc>
        <w:tc>
          <w:tcPr>
            <w:tcW w:w="3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1,688,731</w:t>
            </w:r>
          </w:p>
        </w:tc>
      </w:tr>
      <w:tr>
        <w:trPr>
          <w:trHeight w:val="20"/>
        </w:trPr>
        <w:tc>
          <w:tcPr>
            <w:tcW w:w="50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Level 1: Inputs that reflect unadjusted quoted prices in active markets that are accessible to the Company for identical assets or liabilities;</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2: Inputs include quoted prices for similar assets and liabilities in active and inactive markets or that are observable for the asset or liability either directly or indirectly; and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Unobservable inputs which are supported by little or no market activity.</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Company’s cash equivalents, other current assets, interest rate swaps and Contingent Consideration (defined below) measured at estimated fair value (all other assets and liabilities measured at fair value are immaterial)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5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October 31, 2022</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509,165</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509,165</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106,790</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106,790</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22,991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22,991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24,100</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0" w:type="dxa"/>
            <w:vAlign w:val="bottom"/>
          </w:tcPr>
          <w:p>
            <w:pPr>
              <w:spacing w:after="0"/>
              <w:rPr>
                <w:sz w:val="1"/>
                <w:szCs w:val="1"/>
                <w:color w:val="auto"/>
              </w:rPr>
            </w:pPr>
          </w:p>
        </w:tc>
      </w:tr>
      <w:tr>
        <w:trPr>
          <w:trHeight w:val="449"/>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6"/>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July 31, 2022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505,901</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505,901</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9,473</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9,473</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12,301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12,301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42,400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w:t>
            </w:r>
          </w:p>
        </w:tc>
        <w:tc>
          <w:tcPr>
            <w:tcW w:w="0" w:type="dxa"/>
            <w:vAlign w:val="bottom"/>
          </w:tcPr>
          <w:p>
            <w:pPr>
              <w:spacing w:after="0"/>
              <w:rPr>
                <w:sz w:val="1"/>
                <w:szCs w:val="1"/>
                <w:color w:val="auto"/>
              </w:rPr>
            </w:pPr>
          </w:p>
        </w:tc>
      </w:tr>
      <w:tr>
        <w:trPr>
          <w:trHeight w:val="375"/>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40" w:type="dxa"/>
            <w:vAlign w:val="bottom"/>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Estimated Fair Value Measurement as of October 31, 2021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Money Market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504,064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504,064</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2,401</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2,401</w:t>
            </w:r>
          </w:p>
        </w:tc>
        <w:tc>
          <w:tcPr>
            <w:tcW w:w="4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9,984</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9,984</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5,348</w:t>
            </w:r>
          </w:p>
        </w:tc>
        <w:tc>
          <w:tcPr>
            <w:tcW w:w="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5,348</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24,100</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24,100</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cash equivalents,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assets on the Company’s Consolidated Condensed Balance Sheet as of October 31, 2022 and July 31, 2022, and included within other long-term liabilities as of October 31, 2021.</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changes in Contingent Consideration during the three months ended October 31, 2022 and 2021 were as follows (in thousands):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2022 and 2021, respectively</w:t>
            </w:r>
          </w:p>
        </w:tc>
        <w:tc>
          <w:tcPr>
            <w:tcW w:w="260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42,400</w:t>
            </w:r>
          </w:p>
        </w:tc>
        <w:tc>
          <w:tcPr>
            <w:tcW w:w="52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29,600</w:t>
            </w:r>
          </w:p>
        </w:tc>
      </w:tr>
      <w:tr>
        <w:trPr>
          <w:trHeight w:val="229"/>
        </w:trPr>
        <w:tc>
          <w:tcPr>
            <w:tcW w:w="6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w:t>
            </w:r>
          </w:p>
        </w:tc>
        <w:tc>
          <w:tcPr>
            <w:tcW w:w="26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(18,936)</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61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6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636</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23"/>
        </w:trPr>
        <w:tc>
          <w:tcPr>
            <w:tcW w:w="6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 as of October 31, 2022 and 2021, respectively</w:t>
            </w:r>
          </w:p>
        </w:tc>
        <w:tc>
          <w:tcPr>
            <w:tcW w:w="26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24,100</w:t>
            </w:r>
          </w:p>
        </w:tc>
        <w:tc>
          <w:tcPr>
            <w:tcW w:w="5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24,100</w:t>
            </w:r>
          </w:p>
        </w:tc>
      </w:tr>
      <w:tr>
        <w:trPr>
          <w:trHeight w:val="20"/>
        </w:trPr>
        <w:tc>
          <w:tcPr>
            <w:tcW w:w="616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at the transaction date, with such threshold amount subsequently increased annually by an inflation linked index and a 10% adjustment for any capital improvements or investments made under the lease by the Company. The estimated fair value of Contingent Consideration includes the future period resort operations of Park City in the calculation of EBITDA on which participating contingent payments are made, which is determined on the basis of estimated subsequent year performance, escalated by an assumed growth factor. The Company estimated the fair value of the Contingent Consideration payments using an option pricing valuation model. Key assumptions included a discount rate of 11.1%, volatility of 17.0% and future period Park City EBITDA, which are unobservable inputs and thus are considered Level 3 inputs.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$3.2 million to $6.0 million.</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Contingent Consideration is classified as a liability, which is remeasured to fair value at each reporting date until the contingency is resolved. During the three months ended October 31, 2022, the Company made a payment to the landlord for Contingent Consideration of approximately $18.9 million and recorded an increase of approximately $0.6 million. These changes resulted in an estimated fair value of the Contingent Consideration of approximately $24.1 million, which is reflected in other long-term liabilities in the Company’s Consolidated Condensed Balance Sheet.</w:t>
      </w:r>
    </w:p>
    <w:p>
      <w:pPr>
        <w:spacing w:after="0" w:line="20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Metropolitan Districts</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Company’s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$1.7 million, $1.8 million and $1.9 million primarily within other long-term liabilities in the accompanying Consolidated Condensed Balance Sheets, as of October 31, 2022, July 31, 2022 and October 31, 2021, respectively, with respect to the estimated present value of future RSRMD capital improvement fees. The Company estimates it will make capital improvement fee payments under this arrangement through the fiscal year ending July 31, 2031.</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Guarantees/Indemnifications</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2022, the Company had various letters of credit outstanding totaling $80.0 million, consisting of $53.4 million to support the Employee Housing Bonds and $26.6 million primarily for workers’ compensation, a wind energy purchase agreement and insurance-related deductibles. The Company also had surety bonds of $13.2 million as of October 31, 2022, primarily to provide collateral for its U.S. workers compensation self-insurance programs.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Self-Insurance</w:t>
      </w:r>
    </w:p>
    <w:p>
      <w:pPr>
        <w:spacing w:after="0" w:line="11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Legal</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October 31, 2022, July 31, 2022 and October 31, 2021, the accruals for the above loss contingencies were not material individually or in the aggregate.</w:t>
      </w:r>
    </w:p>
    <w:p>
      <w:pPr>
        <w:spacing w:after="0" w:line="19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Items excluded from Reported EBITDA are significant components in understanding and assessing financial performance. Reported EBITDA should not be considered in isolation or as an alternative to, or substitute for, net loss, net change in cash and cash equivalents or other financial statement data presented in the accompanying Consolidated Condensed Financial Statements as indicators of financial performance or liquidity.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financial information by reportable segment, which is used by management in evaluating performance and allocating resources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0" w:type="dxa"/>
            <w:vAlign w:val="bottom"/>
            <w:gridSpan w:val="3"/>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Mountain</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201,717</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109,300</w:t>
            </w: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77,617</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65,961</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net revenue</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279,334</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175,261</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113</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3"/>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279,447</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175,576</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operating expense:</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294,196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221,778</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81,974</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63,410</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Resort operating expense</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376,170</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285,188</w:t>
            </w:r>
          </w:p>
        </w:tc>
      </w:tr>
      <w:tr>
        <w:trPr>
          <w:trHeight w:val="229"/>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1,382</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196"/>
        </w:trPr>
        <w:tc>
          <w:tcPr>
            <w:tcW w:w="78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segment operating expense</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377,552</w:t>
            </w:r>
          </w:p>
        </w:tc>
        <w:tc>
          <w:tcPr>
            <w:tcW w:w="44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286,658</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4"/>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1,514</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Reported EBITDA:</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7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Mountain</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(92,133)</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(110,964)</w:t>
            </w: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Lodging</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3"/>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Resort</w:t>
            </w:r>
          </w:p>
        </w:tc>
        <w:tc>
          <w:tcPr>
            <w:tcW w:w="3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(96,490)</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(108,413)</w:t>
            </w:r>
          </w:p>
        </w:tc>
      </w:tr>
      <w:tr>
        <w:trPr>
          <w:trHeight w:val="230"/>
        </w:trPr>
        <w:tc>
          <w:tcPr>
            <w:tcW w:w="786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Real Estate</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196"/>
        </w:trPr>
        <w:tc>
          <w:tcPr>
            <w:tcW w:w="7860" w:type="dxa"/>
            <w:vAlign w:val="bottom"/>
            <w:tcBorders>
              <w:bottom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Total Reported EBITDA</w:t>
            </w:r>
          </w:p>
        </w:tc>
        <w:tc>
          <w:tcPr>
            <w:tcW w:w="38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(97,759)</w:t>
            </w:r>
          </w:p>
        </w:tc>
        <w:tc>
          <w:tcPr>
            <w:tcW w:w="440" w:type="dxa"/>
            <w:vAlign w:val="bottom"/>
            <w:tcBorders>
              <w:bottom w:val="single" w:sz="8" w:color="auto"/>
            </w:tcBorders>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(109,537)</w:t>
            </w:r>
          </w:p>
        </w:tc>
      </w:tr>
      <w:tr>
        <w:trPr>
          <w:trHeight w:val="20"/>
        </w:trPr>
        <w:tc>
          <w:tcPr>
            <w:tcW w:w="7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held for sale or investment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95,608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98,833</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Reconciliation from net loss attributable to Vail Resorts, Inc. to Total Reported EBITDA:</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(136,971)</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(139,332)</w:t>
            </w:r>
          </w:p>
        </w:tc>
      </w:tr>
      <w:tr>
        <w:trPr>
          <w:trHeight w:val="229"/>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(142,521)</w:t>
            </w:r>
          </w:p>
        </w:tc>
      </w:tr>
      <w:tr>
        <w:trPr>
          <w:trHeight w:val="229"/>
        </w:trPr>
        <w:tc>
          <w:tcPr>
            <w:tcW w:w="7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(58,006)</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(59,853)</w:t>
            </w:r>
          </w:p>
        </w:tc>
      </w:tr>
      <w:tr>
        <w:trPr>
          <w:trHeight w:val="223"/>
        </w:trPr>
        <w:tc>
          <w:tcPr>
            <w:tcW w:w="7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(201,566)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(202,374)</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64,614</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61,489</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estimated fair value of contingent consideration</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w:t>
            </w:r>
          </w:p>
        </w:tc>
      </w:tr>
      <w:tr>
        <w:trPr>
          <w:trHeight w:val="230"/>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7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380" w:type="dxa"/>
            <w:vAlign w:val="bottom"/>
          </w:tcPr>
          <w:p>
            <w:pPr>
              <w:spacing w:after="0"/>
              <w:rPr>
                <w:sz w:val="19"/>
                <w:szCs w:val="19"/>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6,135</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30"/>
        </w:trPr>
        <w:tc>
          <w:tcPr>
            <w:tcW w:w="78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35,302</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39,545</w:t>
            </w:r>
          </w:p>
        </w:tc>
      </w:tr>
      <w:tr>
        <w:trPr>
          <w:trHeight w:val="223"/>
        </w:trPr>
        <w:tc>
          <w:tcPr>
            <w:tcW w:w="78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(97,759)</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(109,537)</w:t>
            </w:r>
          </w:p>
        </w:tc>
      </w:tr>
      <w:tr>
        <w:trPr>
          <w:trHeight w:val="21"/>
        </w:trPr>
        <w:tc>
          <w:tcPr>
            <w:tcW w:w="7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ind w:left="440" w:hanging="432"/>
        <w:spacing w:after="0"/>
        <w:tabs>
          <w:tab w:leader="none" w:pos="4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March 9, 2006, the Company’s Board of Directors approved a share repurchase program, authorizing the Company to repurchase up to 3,000,000 Vail Shares. On July 16, 2008, the Company’s Board of Directors increased the authorization by an additional 3,000,000 Vail Shares, and on December 4, 2015, the Company’s Board of Directors increased the authorization by an additional 1,500,000 Vail Shares for a total authorization to repurchase up to 7,500,000 Vail Shares. The Company did not repurchase any Vail Shares during the three months ended October 31, 2022 or 2021. Since inception of its share repurchase program through October 31, 2022, the Company has repurchased 6,465,708 Vail Shares for approximately $479.4 million. As of October 31, 2022, 1,034,292 Vail Shares remained available to repurchase under the existing share repurchase program, which has no expiration date. Vail Shares purchased pursuant to the repurchase program will be held as treasury shares and may be used for issuance under the Company’s employee share award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Vail Resorts, Inc., together with its subsidiaries, is referred to throughout this Quarterly Report on Form 10-Q for the period ended October 31, 2022 (“Form 10-Q”) as “we,” “us,” “our” or the “Company.”</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(“MD&amp;A”) should be read in conjunction with our Annual Report on Form 10-K for the fiscal year ended July 31, 2022 (“Form 10-K”) and the Consolidated Condensed Financial Statements as of October 31, 2022 and 2021 and for the three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28, 2022.</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loss attributable to Vail Resorts, Inc. to Total Reported EBITDA and long-term debt, net to Net Debt.</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loss,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operations are grouped into three integrated and interdependent segments: Mountain, Lodging and Real Estate. We refer to “Resort” as the combination of the Mountain and Lodging segments.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Mountain segment, the Company operates the following 41 destination mountain resorts and regional ski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destination mountain resorts and regional ski areas (collectively, “Resorts”) typically experience their peak operating season for the Mountain segment from mid-December through mid-April, and our Australian ski areas typically experience their peak operating season from June to early October. Consequently, our first fiscal quarter is a seasonally low period as most of our North American and European ski operations are generally not open for business until our second fiscal quarter, while the activity of our Australian ski areas’ peak season and our North American and European summer operating results are not sufficient to offset the losses incurred during the seasonally low periods at our North American and European Resorts. Revenue of the Mountain segment during the first and fourth fiscal quarters is primarily generated from summer and group related visitation at our North American and European destination mountain resorts, retail/rental operations and peak season Australian ski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Revenue of the lodging segment during our first fiscal quarter is generated primarily by the operations of our NPS concessioner properties (as their peak operating season generally occurs during the months of June to October), as well as golf operations and seasonally low operations from our other owned and managed properties and businesses. Lodging properties (including managed condominium rooms) at or around our mountain resorts, and our Colorado resort ground transportation company, are closely aligned with the performance of the Mountain segment and generally experience similar seasonal trends.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Trends, Risks and Uncertainties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89" w:lineRule="exact"/>
        <w:rPr>
          <w:sz w:val="20"/>
          <w:szCs w:val="20"/>
          <w:color w:val="auto"/>
        </w:rPr>
      </w:pPr>
    </w:p>
    <w:p>
      <w:pPr>
        <w:jc w:val="both"/>
        <w:ind w:left="660" w:hanging="328"/>
        <w:spacing w:after="0" w:line="266"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economies in the countries in which we operate may be impacted by economic challenges associated with rising inflation, increasing interest rates and/or fluctuating commodity prices that could adversely impact our business, including decreased guest spending or visitation or increased costs of operations. We cannot predict the ultimate extent of such potential economic challenges, whether in North America or globally.</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COVID-19 has led to adverse economic impacts in global and local economies. While we have experienced continued recovery from the COVID-19 pandemic, our operations for the fiscal year ending July 31, 2023 (“Fiscal 2023”) may continue to be negatively impacted by COVID-19. Although conditions have improved, demand may continue to be varied as the recovery progresses. A significant outbreak of any new COVID-19 variants could result in temporary impacts to our staffing levels and may impact our financial results for a period of time which we are currently unable to predict. While we anticipate improvements with regard to COVID-19 as compared to the fiscal years ended July 31, 2022 and 2021, we cannot predict the ultimate impact that COVID-19 will have on our results of operations, particularly in the event of any staffing challenges caused by COVID-19, or from any impact to our guest visitation, guest spending or other related trends for the 2022/2023 North American and European ski seasons or the remainder of Fiscal 2023.</w:t>
      </w:r>
    </w:p>
    <w:p>
      <w:pPr>
        <w:spacing w:after="0" w:line="218"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Pass product sales for the 2022/2023 North American ski season increased approximately 6% in units and approximately 6% in sales dollars through December 5, 2022 as compared to the period in the prior year through December 6, 2021. Pass product sales are adjusted to include pass product sales for the Seven Springs Resorts in both periods and to eliminate the impact of foreign currency by applying an exchange rate of $0.74 between the Canadian dollar and U.S. dollar to both periods for Whistler Blackcomb pass product sales. We cannot predict the ultimate impact that sales of our pass products will have on total lift revenue or effective ticket price for the 2022/2023 North American ski season.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ind w:left="660" w:hanging="328"/>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October 31, 2022, we had $1.2 billion of cash and cash equivalents, as well as $416.5 million available under the revolver component of our Eighth Amended and Restated Credit Agreement, dated as of August 15, 2018 and as amended most recently on August 31, 2022 (the “Vail Holdings Credit Agreement”), which represents the total commitment of $500.0 million less certain letters of credit outstanding of $83.5 million. Additionally, we have a credit facility which supports the liquidity needs of Whistler Blackcomb (the “Whistler Credit Agreement”). As of October 31, 2022, we had C$281.6 million ($206.7 million) available under the revolver component of the Whistler Credit Agreement (which represents the total commitment of C$300.0 million ($220.2 million) less outstanding borrowings of C$15.0 million ($11.0 million) and a letter of credit outstanding of C$3.4 million ($2.5 million). 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215"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3, 2022, through a wholly-owned subsidiary, we acquired a 55% controlling interest in Andermatt-Sedrun Sport AG (“Andermatt-Sedrun”) from Andermatt Swiss Alps AG (“ASA”). Andermatt-Sedrun controls and operates all of Andermatt-Sedrun's mountain and ski-related assets, including lifts, most of the restaurants and a ski school operation at the ski area. The total consideration we paid was comprised of a $114.4 million (CHF 110.0 million) investment into Andermatt-Sedrun for use in capital investments to enhance the guest experience on the mountain and $41.3 million (CHF 39.3 million) paid to ASA. As of August 3, 2022 the total fair value of the consideration paid was $155.4 million (CHF 149.3 million). The proceeds paid to ASA will be fully reinvested into the real estate developments in the base area. ASA retains a 40% ownership stake, with a group of existing shareholders comprising the remaining 5% ownership. We will provide unlimited and unrestricted access to Andermatt-Sedrun on the Epic Pass for the 2022/2023 ski season, as well as provide access on other pass products. We cannot predict the ultimate impact the acquisition of Andermatt-Sedrun will have on our future results from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Below is a summary of operating results for the three months ended October 31, 2022, compared to the three months ended October 31, 2021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(136,971)</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(139,332)</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(201,566)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(202,374)</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(92,133)</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(110,964)</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(96,490)</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(108,413)</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(1,124)</w:t>
            </w: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condensed results of operations, including any consolidated financial metrics pertaining thereto, include the operations of Andermatt-Sedrun (acquired August 3, 2022) and Seven Springs Mountain Resort, Hidden Valley Resort and Laurel Mountain Ski Area (together, the “Seven Springs Resorts,” acquired December 31, 2021) prospectively from their respective dates of acquisition.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2022 compared to the three months ended October 31, 2021</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Mountain segment operating results for the three months ended October 31, 2022 and 2021 are presented by category as follows (in thousands, except effective ticket price (“ETP”)). ETP is calculated as lift revenue divided by total skier visits for each applicable period presented.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336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3"/>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00" w:type="dxa"/>
            <w:vAlign w:val="bottom"/>
          </w:tcPr>
          <w:p>
            <w:pPr>
              <w:spacing w:after="0"/>
              <w:rPr>
                <w:sz w:val="3"/>
                <w:szCs w:val="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vMerge w:val="restart"/>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80" w:type="dxa"/>
            <w:vAlign w:val="bottom"/>
          </w:tcPr>
          <w:p>
            <w:pPr>
              <w:jc w:val="center"/>
              <w:ind w:left="33"/>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net revenue:</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Lift</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59,540</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Ski school</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8,927</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506.0 %</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19,442</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12,520</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Retail/rental</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40,344</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28,376</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73,464</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52,602</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39.7 %</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net revenue</w:t>
            </w:r>
          </w:p>
        </w:tc>
        <w:tc>
          <w:tcPr>
            <w:tcW w:w="9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201,717</w:t>
            </w:r>
          </w:p>
        </w:tc>
        <w:tc>
          <w:tcPr>
            <w:tcW w:w="4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84.6 %</w:t>
            </w:r>
          </w:p>
        </w:tc>
        <w:tc>
          <w:tcPr>
            <w:tcW w:w="0" w:type="dxa"/>
            <w:vAlign w:val="bottom"/>
          </w:tcPr>
          <w:p>
            <w:pPr>
              <w:spacing w:after="0"/>
              <w:rPr>
                <w:sz w:val="1"/>
                <w:szCs w:val="1"/>
                <w:color w:val="auto"/>
              </w:rPr>
            </w:pPr>
          </w:p>
        </w:tc>
      </w:tr>
      <w:tr>
        <w:trPr>
          <w:trHeight w:val="223"/>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operating expense:</w:t>
            </w:r>
          </w:p>
        </w:tc>
        <w:tc>
          <w:tcPr>
            <w:tcW w:w="9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108,045</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80,427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29"/>
        </w:trPr>
        <w:tc>
          <w:tcPr>
            <w:tcW w:w="6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Retail cost of sales</w:t>
            </w:r>
          </w:p>
        </w:tc>
        <w:tc>
          <w:tcPr>
            <w:tcW w:w="960" w:type="dxa"/>
            <w:vAlign w:val="bottom"/>
          </w:tcPr>
          <w:p>
            <w:pPr>
              <w:spacing w:after="0"/>
              <w:rPr>
                <w:sz w:val="19"/>
                <w:szCs w:val="19"/>
                <w:color w:val="auto"/>
              </w:rPr>
            </w:pP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20,741</w:t>
            </w:r>
          </w:p>
        </w:tc>
        <w:tc>
          <w:tcPr>
            <w:tcW w:w="4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83,289</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64,737</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82,121</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32.5 %</w:t>
            </w: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Mountain operating expense</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294,196</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221,778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Mountain equity investment income, net</w:t>
            </w:r>
          </w:p>
        </w:tc>
        <w:tc>
          <w:tcPr>
            <w:tcW w:w="9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346</w:t>
            </w:r>
          </w:p>
        </w:tc>
        <w:tc>
          <w:tcPr>
            <w:tcW w:w="4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0" w:type="dxa"/>
            <w:vAlign w:val="bottom"/>
          </w:tcPr>
          <w:p>
            <w:pPr>
              <w:spacing w:after="0"/>
              <w:rPr>
                <w:sz w:val="1"/>
                <w:szCs w:val="1"/>
                <w:color w:val="auto"/>
              </w:rPr>
            </w:pPr>
          </w:p>
        </w:tc>
      </w:tr>
      <w:tr>
        <w:trPr>
          <w:trHeight w:val="248"/>
        </w:trPr>
        <w:tc>
          <w:tcPr>
            <w:tcW w:w="60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(92,133)</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(110,964)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0" w:type="dxa"/>
            <w:vAlign w:val="bottom"/>
          </w:tcPr>
          <w:p>
            <w:pPr>
              <w:spacing w:after="0"/>
              <w:rPr>
                <w:sz w:val="1"/>
                <w:szCs w:val="1"/>
                <w:color w:val="auto"/>
              </w:rPr>
            </w:pPr>
          </w:p>
        </w:tc>
      </w:tr>
      <w:tr>
        <w:trPr>
          <w:trHeight w:val="20"/>
        </w:trPr>
        <w:tc>
          <w:tcPr>
            <w:tcW w:w="60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0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skier visits</w:t>
            </w:r>
          </w:p>
        </w:tc>
        <w:tc>
          <w:tcPr>
            <w:tcW w:w="96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993</w:t>
            </w: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355.5 %</w:t>
            </w:r>
          </w:p>
        </w:tc>
        <w:tc>
          <w:tcPr>
            <w:tcW w:w="0" w:type="dxa"/>
            <w:vAlign w:val="bottom"/>
          </w:tcPr>
          <w:p>
            <w:pPr>
              <w:spacing w:after="0"/>
              <w:rPr>
                <w:sz w:val="1"/>
                <w:szCs w:val="1"/>
                <w:color w:val="auto"/>
              </w:rPr>
            </w:pPr>
          </w:p>
        </w:tc>
      </w:tr>
      <w:tr>
        <w:trPr>
          <w:trHeight w:val="234"/>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ETP</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59.96</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bl>
    <w:p>
      <w:pPr>
        <w:spacing w:after="0" w:line="1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Mountain Reported EBITDA includes $5.3 million and $5.4 million of stock-based compensation expense for the three months ended October 31, 2022 and 2021, respectively.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first fiscal quarter historically results in negative Mountain Reported EBITDA, as most of our North American and European Resorts generally do not open for ski operations until our second fiscal quarter, which begins in November. The first fiscal quarter generally consists of operating and administrative expenses, summer activities (including dining), retail/rental operations and the operations of our Australian ski areas, for which the ski season generally occurs from June through early October.</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Mountain Reported EBITDA increased $18.8 million, or 17.0%, primarily driven by our Australian operations, which experienced record visitation and favorable snow conditions in the current year following periodic COVID-19 related closures in the prior year at Perisher, Falls Creek and Hotham. Our North American summer operations also experienced increased revenue as a result of increased summer visitation compared to the prior year, particularly at Whistler Blackcomb and our Tahoe resorts, but that revenue was more than offset by increased labor expense as a result of investments in employee wages and a continued return to normal staffing, as well as an increase in general and administrative expense. The increase in Mountain Reported EBITDA was also partially offset by incremental off-season losses from the Seven Springs Resorts (acquired in December 2021) and Andermatt-Sedrun (acquired in August 2022). Additionally, Mountain segment results include $2.6 million and $0.6 million of acquisition and integration related expenses for the three months ended October 31, 2022 and 2021, respectively, which are recorded within Mountain other operating expense.</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Lift revenue increased $45.2 million, or 315.5%, primarily due to visitation at our Australian ski areas, which experienced record visitation and favorable snow conditions in the current year following periodic COVID-19 related closures and restrictions in the prior year.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Ski school revenue increased $7.5 million, or 506.0%, dining revenue increased $6.9 million, or 55.3%, and retail/rental revenue increased $12.0 million, or 42.2%, each primarily driven by our Australian ski areas, as result of the greater impact of COVID-19 and related limitations and restrictions in the prior year, including intermittent resort closures, as well as record visitation and favorable snow conditions in the current year. Retail/rental revenue in the current year also benefited from higher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sales at our Colorado city store locations, as well as stronger summer visitation at our North American Resorts which drove increased demand at our on-mountain retail locations, particularly at Whistler Blackcomb which was disproportionately impacted in the prior year due to border closures and other COVID-19 related limitations and restrictions, as well as at our Tahoe resorts as a result of disruptions on our operations from forest fires in the prior year.</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revenue mainly consists of summer visitation and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also includes Australian ski area lodging and transportation revenue. Other revenue increased $20.9 million, or 39.7%, primarily driven by our Australian ski areas, as a result of the greater impact of COVID-19 and related limitations and restrictions in the prior year, as well as an increase in summer visitation at our North American Resorts compared to the prior year, particularly at our Tahoe resorts as a result of disruptions on our operations from forest fires in the prior year, and at Whistler Blackcomb, which was disproportionately impacted in the prior year due to border closures and other COVID-19 related limitations and restrictions.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 increased $72.4 million, or 32.7%, which was primarily attributable to increased variable expenses associated with increased revenue, as well as investments in employee wages and salaries, a continued return to normal staffing, and incremental post-acquisition operating expenses from the Seven Springs Resorts and Andermatt-Sedrun. Additionally, operating expense includes $2.6 million and $0.6 million of acquisition and integration related expenses for the three months ended October 31, 2022, and 2021, respectively.</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Labor and labor-related benefits increased 34.3%, primarily due to an increase in labor expenses in North America associated with wage investments in hourly and salaried employees and increased headcount to support more normalized summer operations, as well as an increase in Australian operations as a result of periodic closures during the prior year. Retail cost of sales increased 41.8%, compared to an increase in retail sales of 33.2%, reflecting decreased margins on a mix of lower-margin retail products, including higher sales of clearance inventory. General and administrative expense increased 28.7%, primarily due to an increase in expenses costs across nearly all corporate functions, which were impacted by wage and salary investments and a decrease in position vacancies for corporate roles, as well as an increase in marketing expenses. Other expense increased 32.5%, primarily due to increases in variable operating expenses associated with increased revenues, as well as increased repairs and maintenance expenses of $3.5 million and an increase in acquisition and integration related expenses of $2.1 million.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Lodging Segment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2022 compared to the three months ended October 31, 2021</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segment operating results for the three months ended October 31, 2022 and 2021 are presented by category as follows (in thousands, except average daily rates (“ADR”) and revenue per available room (“RevPAR”)):</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1880" w:type="dxa"/>
            <w:vAlign w:val="bottom"/>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68"/>
        </w:trPr>
        <w:tc>
          <w:tcPr>
            <w:tcW w:w="6020" w:type="dxa"/>
            <w:vAlign w:val="bottom"/>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880" w:type="dxa"/>
            <w:vAlign w:val="bottom"/>
          </w:tcPr>
          <w:p>
            <w:pPr>
              <w:jc w:val="center"/>
              <w:ind w:left="34"/>
              <w:spacing w:after="0" w:line="68" w:lineRule="exact"/>
              <w:rPr>
                <w:sz w:val="20"/>
                <w:szCs w:val="20"/>
                <w:color w:val="auto"/>
              </w:rPr>
            </w:pPr>
            <w:r>
              <w:rPr>
                <w:rFonts w:ascii="Times New Roman" w:cs="Times New Roman" w:eastAsia="Times New Roman" w:hAnsi="Times New Roman"/>
                <w:sz w:val="7"/>
                <w:szCs w:val="7"/>
                <w:b w:val="1"/>
                <w:bCs w:val="1"/>
                <w:color w:val="auto"/>
              </w:rPr>
              <w:t>Increase</w:t>
            </w:r>
          </w:p>
        </w:tc>
      </w:tr>
      <w:tr>
        <w:trPr>
          <w:trHeight w:val="199"/>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ind w:right="6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7"/>
                <w:szCs w:val="17"/>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80" w:type="dxa"/>
            <w:vAlign w:val="bottom"/>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23"/>
        </w:trPr>
        <w:tc>
          <w:tcPr>
            <w:tcW w:w="6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net revenue:</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Owned hotel rooms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23,565</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21,483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9.7 %</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Managed condominium rooms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12,859</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Dining</w:t>
            </w:r>
          </w:p>
        </w:tc>
        <w:tc>
          <w:tcPr>
            <w:tcW w:w="3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16,829</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10,275</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63.8 %</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Golf</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5,890</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14,797</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14,269</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23"/>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73,940</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64,220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15.1 %</w:t>
            </w:r>
          </w:p>
        </w:tc>
      </w:tr>
      <w:tr>
        <w:trPr>
          <w:trHeight w:val="230"/>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3,677</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111.2 %</w:t>
            </w: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Lodging net revenue</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77,617</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r>
      <w:tr>
        <w:trPr>
          <w:trHeight w:val="223"/>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Lodging operating expense:</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36,915</w:t>
            </w: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27,649</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33.5 %</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15,510</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12,497</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24.1 %</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25,872</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78,297</w:t>
            </w:r>
          </w:p>
        </w:tc>
        <w:tc>
          <w:tcPr>
            <w:tcW w:w="4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61,669</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27.0 %</w:t>
            </w:r>
          </w:p>
        </w:tc>
      </w:tr>
      <w:tr>
        <w:trPr>
          <w:trHeight w:val="229"/>
        </w:trPr>
        <w:tc>
          <w:tcPr>
            <w:tcW w:w="602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Reimbursed payroll costs</w:t>
            </w: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3,677</w:t>
            </w:r>
          </w:p>
        </w:tc>
        <w:tc>
          <w:tcPr>
            <w:tcW w:w="4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111.2 %</w:t>
            </w:r>
          </w:p>
        </w:tc>
      </w:tr>
      <w:tr>
        <w:trPr>
          <w:trHeight w:val="223"/>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Lodging operating expense</w:t>
            </w: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81,974</w:t>
            </w:r>
          </w:p>
        </w:tc>
        <w:tc>
          <w:tcPr>
            <w:tcW w:w="4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63,410</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29.3 %</w:t>
            </w: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w:t>
            </w: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statistics:</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277.25</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274.51</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155.03</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Managed condominium statistics:</w:t>
            </w: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240.08</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233.02</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52.90</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30"/>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Owned hotel and managed condominium statistics (combined):</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ADR</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258.48</w:t>
            </w:r>
          </w:p>
        </w:tc>
        <w:tc>
          <w:tcPr>
            <w:tcW w:w="4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252.62</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81.36</w:t>
            </w:r>
          </w:p>
        </w:tc>
        <w:tc>
          <w:tcPr>
            <w:tcW w:w="46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78.43</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Lodging Reported EBITDA includes $1.0 million of stock-based compensation expense for both the three months ended October 31, 2022 and 2021.</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Lodging Reported EBITDA decreased $6.9 million, or 270.8%, primarily driven by an increase in labor and related benefits to support the return to normal operations at our mountain resort properties and GTLC, including employee wage increases and higher use of contract labor.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owned hotel rooms increased $2.1 million, or 9.7%, primarily due to incremental revenue from the Seven Springs Resorts. Dining revenue increased $6.6 million, or 63.8%, primarily due to incremental revenue from the Seven Springs Resorts, and as a result of fewer COVID-19 related limitations and restrictions as compared to the prior year.</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expense (excluding reimbursed payroll costs) increased 27.0%. Labor and labor related benefits increased 33.5%, primarily due to investments in employee wages and salaries to support a return to more normalized operations at our mountain resort properties and GTLC, and higher use of contract labor. General and administrative expense increased 24.1% primarily due to an increase in expenses across nearly all corporate functions, which were impacted by wage and salary investments and a</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jc w:val="both"/>
        <w:spacing w:after="0" w:line="282" w:lineRule="auto"/>
        <w:rPr>
          <w:sz w:val="20"/>
          <w:szCs w:val="20"/>
          <w:color w:val="auto"/>
        </w:rPr>
      </w:pPr>
      <w:r>
        <w:rPr>
          <w:rFonts w:ascii="Times New Roman" w:cs="Times New Roman" w:eastAsia="Times New Roman" w:hAnsi="Times New Roman"/>
          <w:sz w:val="18"/>
          <w:szCs w:val="18"/>
          <w:color w:val="auto"/>
        </w:rPr>
        <w:t>decrease in position vacancies for corporate roles. Other expense increased 20.2%, primarily due to increases in variable operating expenses associated with increased revenues.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Segment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2022 compared to the three months ended October 31,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Real Estate segment operating results for the three months ended October 31, 2022 and 2021 are presented by category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600" w:type="dxa"/>
            <w:vAlign w:val="bottom"/>
          </w:tcPr>
          <w:p>
            <w:pPr>
              <w:spacing w:after="0"/>
              <w:rPr>
                <w:sz w:val="13"/>
                <w:szCs w:val="13"/>
                <w:color w:val="auto"/>
              </w:rPr>
            </w:pPr>
          </w:p>
        </w:tc>
        <w:tc>
          <w:tcPr>
            <w:tcW w:w="188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6020" w:type="dxa"/>
            <w:vAlign w:val="bottom"/>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1880" w:type="dxa"/>
            <w:vAlign w:val="bottom"/>
            <w:vMerge w:val="restart"/>
          </w:tcPr>
          <w:p>
            <w:pPr>
              <w:jc w:val="center"/>
              <w:ind w:left="36"/>
              <w:spacing w:after="0" w:line="124" w:lineRule="exact"/>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36"/>
        </w:trPr>
        <w:tc>
          <w:tcPr>
            <w:tcW w:w="6020" w:type="dxa"/>
            <w:vAlign w:val="bottom"/>
          </w:tcPr>
          <w:p>
            <w:pPr>
              <w:spacing w:after="0"/>
              <w:rPr>
                <w:sz w:val="3"/>
                <w:szCs w:val="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60" w:type="dxa"/>
            <w:vAlign w:val="bottom"/>
          </w:tcPr>
          <w:p>
            <w:pPr>
              <w:spacing w:after="0"/>
              <w:rPr>
                <w:sz w:val="3"/>
                <w:szCs w:val="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0" w:type="dxa"/>
            <w:vAlign w:val="bottom"/>
          </w:tcPr>
          <w:p>
            <w:pPr>
              <w:spacing w:after="0"/>
              <w:rPr>
                <w:sz w:val="3"/>
                <w:szCs w:val="3"/>
                <w:color w:val="auto"/>
              </w:rPr>
            </w:pPr>
          </w:p>
        </w:tc>
        <w:tc>
          <w:tcPr>
            <w:tcW w:w="18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0"/>
        </w:trPr>
        <w:tc>
          <w:tcPr>
            <w:tcW w:w="60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1880" w:type="dxa"/>
            <w:vAlign w:val="bottom"/>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3"/>
        </w:trPr>
        <w:tc>
          <w:tcPr>
            <w:tcW w:w="60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net revenue</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08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Real Estate operating expense:</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sales (including sales commission)</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1,382</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Real Estate operating expense</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1,382</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Gain on sale of real property</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08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did not close on any significant real estate transactions during the three months ended October 31, 2022 and 2021. Other operating expense for both the three months ended October 31, 2022 and 2021 was primarily comprised of general and administrative costs, such as labor and labor-related benefits, professional services and allocated corporate overhead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segment operating results, the following material items contributed to our overall financial results for the three months ended October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 and 2021 (in thousands):</w:t>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80" w:type="dxa"/>
            <w:vAlign w:val="bottom"/>
          </w:tcPr>
          <w:p>
            <w:pPr>
              <w:spacing w:after="0"/>
              <w:rPr>
                <w:sz w:val="16"/>
                <w:szCs w:val="16"/>
                <w:color w:val="auto"/>
              </w:rPr>
            </w:pPr>
          </w:p>
        </w:tc>
        <w:tc>
          <w:tcPr>
            <w:tcW w:w="2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560" w:type="dxa"/>
            <w:vAlign w:val="bottom"/>
          </w:tcPr>
          <w:p>
            <w:pPr>
              <w:spacing w:after="0"/>
              <w:rPr>
                <w:sz w:val="16"/>
                <w:szCs w:val="16"/>
                <w:color w:val="auto"/>
              </w:rPr>
            </w:pPr>
          </w:p>
        </w:tc>
        <w:tc>
          <w:tcPr>
            <w:tcW w:w="196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23"/>
        </w:trPr>
        <w:tc>
          <w:tcPr>
            <w:tcW w:w="58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48"/>
        </w:trPr>
        <w:tc>
          <w:tcPr>
            <w:tcW w:w="5880" w:type="dxa"/>
            <w:vAlign w:val="bottom"/>
          </w:tcPr>
          <w:p>
            <w:pPr>
              <w:spacing w:after="0"/>
              <w:rPr>
                <w:sz w:val="4"/>
                <w:szCs w:val="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40" w:type="dxa"/>
            <w:vAlign w:val="bottom"/>
          </w:tcPr>
          <w:p>
            <w:pPr>
              <w:spacing w:after="0"/>
              <w:rPr>
                <w:sz w:val="4"/>
                <w:szCs w:val="4"/>
                <w:color w:val="auto"/>
              </w:rPr>
            </w:pPr>
          </w:p>
        </w:tc>
        <w:tc>
          <w:tcPr>
            <w:tcW w:w="110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4"/>
                <w:szCs w:val="4"/>
                <w:color w:val="auto"/>
              </w:rPr>
            </w:pPr>
          </w:p>
        </w:tc>
        <w:tc>
          <w:tcPr>
            <w:tcW w:w="1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58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2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100" w:type="dxa"/>
            <w:vAlign w:val="bottom"/>
            <w:shd w:val="clear" w:color="auto" w:fill="CCEEFF"/>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29"/>
        </w:trPr>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100" w:type="dxa"/>
            <w:vAlign w:val="bottom"/>
            <w:tcBorders>
              <w:bottom w:val="single" w:sz="8" w:color="auto"/>
            </w:tcBorders>
          </w:tcPr>
          <w:p>
            <w:pPr>
              <w:jc w:val="right"/>
              <w:ind w:right="91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(Loss) gain on disposal of fixed assets and other, net. </w:t>
      </w:r>
      <w:r>
        <w:rPr>
          <w:rFonts w:ascii="Times New Roman" w:cs="Times New Roman" w:eastAsia="Times New Roman" w:hAnsi="Times New Roman"/>
          <w:sz w:val="18"/>
          <w:szCs w:val="18"/>
          <w:color w:val="auto"/>
        </w:rPr>
        <w:t>Gain on disposal of fixed assets and other, net for the three months ended October 31, 2021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related to a partial payment for leasehold surrender interest at GTLC associated with assets that have been fully depreciated by the Company. This payment was made at the request of the NPS.</w:t>
      </w:r>
    </w:p>
    <w:p>
      <w:pPr>
        <w:spacing w:after="0" w:line="21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 xml:space="preserve">Foreign currency (loss) gain on intercompany loans. </w:t>
      </w:r>
      <w:r>
        <w:rPr>
          <w:rFonts w:ascii="Times New Roman" w:cs="Times New Roman" w:eastAsia="Times New Roman" w:hAnsi="Times New Roman"/>
          <w:sz w:val="18"/>
          <w:szCs w:val="18"/>
          <w:color w:val="auto"/>
        </w:rPr>
        <w:t>Foreign currency (loss) gain on intercompany loans for the three months ended October 31,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$7.0 million, as a result of the value of the Canadian dollar decreasing relative to the U.S. dollar compared to the same period in the prior year. This activity is associated with an intercompany loan from Vail Holdings, Inc. to Whistler Blackcomb in the original amount of $210.0 million that was funded, effective as of November 1, 2016, in connection with the acquisition of Whistler Blackcomb. This intercompany loan requires foreign currency remeasurement to Canadian dollars, the functional currency for Whistler Blackcomb. As a result, foreign currency fluctuations associated with the loan are recorded within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Segment Earnings and Net Debt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reconciles net loss attributable to Vail Resorts, Inc. to Total Reported EBITDA for the three months ended October 31, 2022 and 2021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4"/>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Vail Resorts, Inc.</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(136,971)</w:t>
            </w:r>
          </w:p>
        </w:tc>
        <w:tc>
          <w:tcPr>
            <w:tcW w:w="3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(139,332)</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(3,189)</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(143,560)</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(142,521)</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Benefit from income taxes</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(58,006)</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(59,853)</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before benefit from income taxes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(201,566)</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(202,374)</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64,614</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61,489</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disposal of fixed assets and other, net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(8,867)</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636</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r>
      <w:tr>
        <w:trPr>
          <w:trHeight w:val="23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 and other, net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6,135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35,302</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39,545</w:t>
            </w:r>
          </w:p>
        </w:tc>
      </w:tr>
      <w:tr>
        <w:trPr>
          <w:trHeight w:val="22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(97,759)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(109,537)</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7"/>
        </w:trPr>
        <w:tc>
          <w:tcPr>
            <w:tcW w:w="78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29"/>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Mountain Reported EBITDA</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(92,133)</w:t>
            </w:r>
          </w:p>
        </w:tc>
        <w:tc>
          <w:tcPr>
            <w:tcW w:w="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(110,964)</w:t>
            </w:r>
          </w:p>
        </w:tc>
      </w:tr>
      <w:tr>
        <w:trPr>
          <w:trHeight w:val="229"/>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Lodging Reported EBITDA</w:t>
            </w: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w:t>
            </w:r>
          </w:p>
        </w:tc>
      </w:tr>
      <w:tr>
        <w:trPr>
          <w:trHeight w:val="223"/>
        </w:trPr>
        <w:tc>
          <w:tcPr>
            <w:tcW w:w="7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Resort Reported EBITDA</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(96,490)</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(108,413)</w:t>
            </w:r>
          </w:p>
        </w:tc>
      </w:tr>
      <w:tr>
        <w:trPr>
          <w:trHeight w:val="229"/>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Real Estate Reported EBITDA</w:t>
            </w: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w:t>
            </w:r>
          </w:p>
        </w:tc>
      </w:tr>
      <w:tr>
        <w:trPr>
          <w:trHeight w:val="223"/>
        </w:trPr>
        <w:tc>
          <w:tcPr>
            <w:tcW w:w="78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Total Reported EBITDA</w:t>
            </w:r>
          </w:p>
        </w:tc>
        <w:tc>
          <w:tcPr>
            <w:tcW w:w="64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(97,759)</w:t>
            </w:r>
          </w:p>
        </w:tc>
        <w:tc>
          <w:tcPr>
            <w:tcW w:w="32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(109,537)</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66"/>
        </w:trPr>
        <w:tc>
          <w:tcPr>
            <w:tcW w:w="78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reconciles long-term debt, net to Net Debt (in thousands):</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95"/>
        </w:trPr>
        <w:tc>
          <w:tcPr>
            <w:tcW w:w="7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140" w:type="dxa"/>
            <w:vAlign w:val="bottom"/>
          </w:tcPr>
          <w:p>
            <w:pPr>
              <w:spacing w:after="0"/>
              <w:rPr>
                <w:sz w:val="24"/>
                <w:szCs w:val="24"/>
                <w:color w:val="auto"/>
              </w:rPr>
            </w:pPr>
          </w:p>
        </w:tc>
      </w:tr>
      <w:tr>
        <w:trPr>
          <w:trHeight w:val="23"/>
        </w:trPr>
        <w:tc>
          <w:tcPr>
            <w:tcW w:w="78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w:t>
            </w: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2,769,698</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2,704,583</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67,811</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114,795</w:t>
            </w:r>
          </w:p>
        </w:tc>
      </w:tr>
      <w:tr>
        <w:trPr>
          <w:trHeight w:val="223"/>
        </w:trPr>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2,837,509</w:t>
            </w:r>
          </w:p>
        </w:tc>
        <w:tc>
          <w:tcPr>
            <w:tcW w:w="3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2,819,378</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4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1,180,942</w:t>
            </w:r>
          </w:p>
        </w:tc>
        <w:tc>
          <w:tcPr>
            <w:tcW w:w="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1,468,380</w:t>
            </w:r>
          </w:p>
        </w:tc>
      </w:tr>
      <w:tr>
        <w:trPr>
          <w:trHeight w:val="248"/>
        </w:trPr>
        <w:tc>
          <w:tcPr>
            <w:tcW w:w="784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Debt</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1,656,567</w:t>
            </w:r>
          </w:p>
        </w:tc>
        <w:tc>
          <w:tcPr>
            <w:tcW w:w="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1,350,998</w:t>
            </w:r>
          </w:p>
        </w:tc>
      </w:tr>
      <w:tr>
        <w:trPr>
          <w:trHeight w:val="20"/>
        </w:trPr>
        <w:tc>
          <w:tcPr>
            <w:tcW w:w="7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significant sources of cash for the three months ended October 31, 2022 and 2021 are presented by categories as follows (in thousands).</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8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center"/>
              <w:ind w:left="377"/>
              <w:spacing w:after="0"/>
              <w:rPr>
                <w:sz w:val="20"/>
                <w:szCs w:val="20"/>
                <w:color w:val="auto"/>
              </w:rPr>
            </w:pPr>
            <w:r>
              <w:rPr>
                <w:rFonts w:ascii="Times New Roman" w:cs="Times New Roman" w:eastAsia="Times New Roman" w:hAnsi="Times New Roman"/>
                <w:sz w:val="18"/>
                <w:szCs w:val="18"/>
                <w:color w:val="auto"/>
              </w:rPr>
              <w:t>332,991</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349,021</w:t>
            </w:r>
          </w:p>
        </w:tc>
      </w:tr>
      <w:tr>
        <w:trPr>
          <w:trHeight w:val="230"/>
        </w:trPr>
        <w:tc>
          <w:tcPr>
            <w:tcW w:w="7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357"/>
              <w:spacing w:after="0"/>
              <w:rPr>
                <w:sz w:val="20"/>
                <w:szCs w:val="20"/>
                <w:color w:val="auto"/>
              </w:rPr>
            </w:pPr>
            <w:r>
              <w:rPr>
                <w:rFonts w:ascii="Times New Roman" w:cs="Times New Roman" w:eastAsia="Times New Roman" w:hAnsi="Times New Roman"/>
                <w:sz w:val="18"/>
                <w:szCs w:val="18"/>
                <w:color w:val="auto"/>
                <w:w w:val="99"/>
              </w:rPr>
              <w:t>(134,531)</w:t>
            </w:r>
          </w:p>
        </w:tc>
        <w:tc>
          <w:tcPr>
            <w:tcW w:w="4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(39,857)</w:t>
            </w:r>
          </w:p>
        </w:tc>
      </w:tr>
      <w:tr>
        <w:trPr>
          <w:trHeight w:val="230"/>
        </w:trPr>
        <w:tc>
          <w:tcPr>
            <w:tcW w:w="78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center"/>
              <w:ind w:left="357"/>
              <w:spacing w:after="0"/>
              <w:rPr>
                <w:sz w:val="20"/>
                <w:szCs w:val="20"/>
                <w:color w:val="auto"/>
              </w:rPr>
            </w:pPr>
            <w:r>
              <w:rPr>
                <w:rFonts w:ascii="Times New Roman" w:cs="Times New Roman" w:eastAsia="Times New Roman" w:hAnsi="Times New Roman"/>
                <w:sz w:val="18"/>
                <w:szCs w:val="18"/>
                <w:color w:val="auto"/>
                <w:w w:val="99"/>
              </w:rPr>
              <w:t>(104,628)</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(84,734)</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October 31, 2022 compared to the three months ended October 31, 2021</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generated $333.0 million of cash from operating activities during the three months ended October 31, 2022, a decrease of $16.0 million compared to $349.0 million generated during the three months ended October 31, 2021. The decrease in operating cash flows was primarily a result of an increase in income taxes paid during the three months ended October 31, 2022 relative</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30" w:name="page31"/>
    <w:bookmarkEnd w:id="30"/>
    <w:p>
      <w:pPr>
        <w:jc w:val="both"/>
        <w:spacing w:after="0" w:line="282" w:lineRule="auto"/>
        <w:rPr>
          <w:sz w:val="20"/>
          <w:szCs w:val="20"/>
          <w:color w:val="auto"/>
        </w:rPr>
      </w:pPr>
      <w:r>
        <w:rPr>
          <w:rFonts w:ascii="Times New Roman" w:cs="Times New Roman" w:eastAsia="Times New Roman" w:hAnsi="Times New Roman"/>
          <w:sz w:val="18"/>
          <w:szCs w:val="18"/>
          <w:color w:val="auto"/>
        </w:rPr>
        <w:t>to the prior year, as well as an increase in inventory purchases of $8.8 million. These decreases were partially offset by improved Mountain segment operating results for the three months ended October 31, 2022 compared to the prior year.</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Cash used in investing activities for the three months ended October 31, 2022 increased by $94.7 million primarily due to (i) $86.8 million of short-term investments in bank deposits in the current year, which were invested in deposits with maturity dates of more than three months at the date of purchase and are therefore not reflected as cash equivalents; (ii) an increase in capital expenditures of approximately $74.0 million as compared to the prior year; (iii) $38.6 million of cash paid to ASA upon closing the acquisition of Andermatt-Sedrun, net of cash acquired, on August 3, 2022 and (iv) a reduction in proceeds stemming from a prior year payment from the NPS related to a leasehold surrender interest at GTLC associated with assets that had been fully depreciated by the Company. These increases were partially offset by the return of a cash deposit of approximately $114.5 million (CHF 110.0 million) made in July 2022 as a result of the consolidation of Andermatt-Sedrun in the current year, which closed on August 3, 2022. The cash deposit was invested into Andermatt-Sedrun, which is consolidated in our consolidated condensed financial statements subsequent to the acquisition being completed.</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increased by $19.9 million during the three months ended October 31, 2022 compared to the three months ended October 31, 2021, primarily due to an increase in dividends paid of $41.4 million, partially offset by a decrease in net payments under the revolver component of our Whistler Credit Agreement.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Sources of Cash</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$1.2 billion of cash and cash equivalents as of October 31, 2022, compared to $1.5 billion as of October 31, 2021. Although we cannot predict the future impact associated with the COVID-19 pandemic or other economic factors on our business, we currently anticipate that our Mountain and Lodging segment operating results will continue to provide a significant source of future operating cash flows (primarily generated in our second and third fiscal quarters).</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to our $1.2 billion of cash and cash equivalents at October 31, 2022, we had $416.5 million available under the revolver component of our Vail Holdings Credit Agreement as of October 31, 2022 (which represents the total commitment of $500.0 million less certain letters of credit outstanding of $83.5 million). Additionally, we had C$281.6 million ($206.7 million) available under the revolver component of our Whistler Credit Agreement (which represents the total commitment of C$300.0 million ($220.2 million) less outstanding borrowings of C$15.0 million ($11.0 million) and letters of credit outstanding of C$3.4 million ($2.5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SOFR plus a spread of 0.1% plus 1.25% and Bankers Acceptance Rate plus 1.75%, respectively.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Uses of Cash</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anticipate we will spend approximately $323 million to $333 million on resort capital expenditures during calendar year 2022. This plan includes the installation of 18 new or replacement lifts across 12 of our resorts, which will meaningfully increase lift capacity at those lift locations. The capital plan includes approximately $9 million for integration activities related to the recently acquired Seven Springs Resorts, approximately $4 million related to the addition of Andermatt-Sedrun and approximately $20 million of incremental spending to complete the one-time capital plans associated with the Peak Resorts and Triple Peaks acquisitions. Also included in these estimated capital expenditures are approximately $105 million to $115 million of maintenance capital expenditures, which are necessary to maintain appearance and level of service appropriate to our resort operations.</w:t>
      </w:r>
    </w:p>
    <w:p>
      <w:pPr>
        <w:spacing w:after="0" w:line="2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spent approximately $203 million for capital expenditures in calendar year 2022 as of October 31, 2022, leaving approximately $120 million to $130 million to spend in the remainder of calendar year 2022.</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1" w:name="page32"/>
    <w:bookmarkEnd w:id="31"/>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capital plan for calendar year 2023 will be approximately $180 million to $185 million, excluding one-time investments related to integration activities, deferred capital associated with the Keystone and Park City projects, and $13 million of growth capital investments at Andermatt-Sedrun. Including $1 million of one-time investments related to integration activities, $10 million of deferred capital associated with the Keystone and Park City projects, and $13 million of growth capital investments at Andermatt-Sedrun, our total capital plan for calendar year 2023 is expected to be approximately $204 million to $209 million. We currently plan to utilize cash on hand, borrowings available under our credit agreements and/or cash flow generated from future operations to provide the cash necessary to complete our capital plans.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Acquisitions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 2022, we acquired a majority stake in Andermatt-Sedrun, which was funded with cash on hand. The purchase price was comprised of a $114.4 million (CHF 110.0 million) investment into Andermatt-Sedrun for use in capital investments to enhance the guest experience on the mountain and $41.3 million (CHF 39.3 million) paid to the seller. As of August 3, 2022 the total fair value of the consideration paid was $155.4 million (CHF 149.3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2022, principal payments on the majority of our long-term debt ($2.7 billion of the total $2.8 billion debt outstanding as of October 31, 2022) are not due until fiscal year 2025 and beyond. As of both October 31, 2022 and 2021, total long-term debt, net (including long-term debt due within one year) was $2.8 billion. Net Debt (defined as long-term debt, net plus long-term debt due within one year less cash and cash equivalents) increased from $1.4 billion as of October 31, 2021 to $1.7 billion as of October 31,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2022, the Vail Holdings Credit Agreement provides for (i) a revolving loan facility in an aggregate principal amount of $500.0 million and (ii) a term loan facility of $1.1 billion. We expect that our liquidity needs in the near term will be met by continued use of cash on hand, operating cash flows and borrowings under the 6.25% Notes, the 0.0% Convertible Notes, the Vail Holdings Credit Agreement and the Whistler Credit Agreement.</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debt service requirements can be impacted by changing interest rates as we had approximately $0.7 billion of variable-rate debt outstanding as of October 31, 2022. A 100-basis point change in our borrowing rates would cause our annual interest payments to change by approximately $7.3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 the business and economic environment by managing our capital expenditures, variable operating expenses, the timing of new real estate development activity and the payment of cash dividends on our common stock.</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Dividend Payments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7, 2022, the Company’s Board of Directors approved a cash dividend of $1.91 per share payable on January 10, 2023 to stockholders of record as of December 27, 2022. For the three months ended October 31, 2022, we paid cash dividends of $1.91 per share ($77.0 million in the aggregate). We funded the dividend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auto"/>
        </w:rPr>
        <w:t>Share Repurchase Program</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and 1,500,000 Vail Shares (December 4, 2015), for a total authorization to repurchase up to 7,500,000 Vail Shares. We did not repurchase any Vail Shares during the three months ended October 31, 2022 or 2021. Since inception of this stock repurchase program through October 31, 2022, we have repurchased 6,465,708 Vail Shares at a cost of approximately $479.4 million. As of October 31, 2022, 1,034,292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sale at prices that we believe are attractive. The share repurchase program has no expiration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and Limitations</w:t>
      </w:r>
    </w:p>
    <w:p>
      <w:pPr>
        <w:spacing w:after="0" w:line="121"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 compliance with all restrictive financial covenants in our debt instruments as of October 31, 2022.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changes to our critical accounting policies and estimates as reported in our Form 10-K for the fiscal year ended July 31, 2022.</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1" w:right="339" w:bottom="1440" w:gutter="0" w:footer="0" w:header="0"/>
        </w:sectPr>
      </w:pPr>
    </w:p>
    <w:bookmarkStart w:id="33" w:name="page34"/>
    <w:bookmarkEnd w:id="33"/>
    <w:p>
      <w:pPr>
        <w:ind w:right="20"/>
        <w:spacing w:after="0" w:line="282" w:lineRule="auto"/>
        <w:rPr>
          <w:sz w:val="20"/>
          <w:szCs w:val="20"/>
          <w:color w:val="auto"/>
        </w:rPr>
      </w:pPr>
      <w:r>
        <w:rPr>
          <w:rFonts w:ascii="Times New Roman" w:cs="Times New Roman" w:eastAsia="Times New Roman" w:hAnsi="Times New Roman"/>
          <w:sz w:val="18"/>
          <w:szCs w:val="18"/>
          <w:color w:val="auto"/>
        </w:rPr>
        <w:t>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187" w:lineRule="exact"/>
        <w:rPr>
          <w:sz w:val="20"/>
          <w:szCs w:val="20"/>
          <w:color w:val="auto"/>
        </w:rPr>
      </w:pPr>
    </w:p>
    <w:p>
      <w:pPr>
        <w:ind w:left="820" w:hanging="650"/>
        <w:spacing w:after="0" w:line="262" w:lineRule="auto"/>
        <w:tabs>
          <w:tab w:leader="none" w:pos="81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economy generally, and our business and results of operations, including the ultimate amount of refunds that we would be required to refund to our pass product holders for qualifying circumstances under our Epic Coverage program;</w:t>
      </w: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prolonged weakness in general economic conditions, including adverse effects on the overall travel and leisure related industries;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ongoing COVID-19 pandemic, and its impact on the travel and leisure industry generally, and our financial condition and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unfavorable weather conditions or the impact of natural disasters;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willingness of our guests to travel due to terrorism, the uncertainty of military conflicts or outbreaks of contagious diseases (such as the ongoing COVID-19 pandemic), and the cost and availability of travel options and changing consumer preferences or willingness to travel;</w:t>
      </w: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interruptions or disruptions of our information technology systems, data security or cyberattacks;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the seasonality of our business combined with adverse events that may occur during our peak operating periods;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competition in our mountain and lodging businesses or with other recreational and leisure activities;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the high fixed cost structure of our business;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fund resort capital expenditures;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a disruption in our water supply that would impact our snowmaking capabilities and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reliance on government permits or approvals for our use of public land or to make operational and capital improvements;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federal, state, local and foreign government laws, rules and regulations;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potential failure to adapt to technological developments or industry trends regarding information technology;</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20" w:hanging="650"/>
        <w:spacing w:after="0" w:line="250" w:lineRule="auto"/>
        <w:tabs>
          <w:tab w:leader="none" w:pos="81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deterioration in the quality or reputation of our brands, including our ability to protect our intellectual property and the risk of accidents at our mountain resorts;</w:t>
      </w:r>
    </w:p>
    <w:p>
      <w:pPr>
        <w:jc w:val="both"/>
        <w:ind w:left="820" w:hanging="650"/>
        <w:spacing w:after="0" w:line="250" w:lineRule="auto"/>
        <w:tabs>
          <w:tab w:leader="none" w:pos="81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 including the Seven Springs Resorts and Andermatt-Sedrun;</w:t>
      </w:r>
    </w:p>
    <w:p>
      <w:pPr>
        <w:spacing w:after="0" w:line="1"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associated with international operations;</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line="250" w:lineRule="auto"/>
        <w:tabs>
          <w:tab w:leader="none" w:pos="81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fluctuations in foreign currency exchange rates where the Company has foreign currency exposure, primarily the Canadian and Australian dollars and the Swiss franc, as compared to the U.S. dollar;</w:t>
      </w: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tax laws, regulations or interpretations, or adverse determinations by taxing authorities;</w:t>
      </w:r>
    </w:p>
    <w:p>
      <w:pPr>
        <w:spacing w:after="0" w:line="9" w:lineRule="exact"/>
        <w:rPr>
          <w:rFonts w:ascii="Times New Roman" w:cs="Times New Roman" w:eastAsia="Times New Roman" w:hAnsi="Times New Roman"/>
          <w:sz w:val="18"/>
          <w:szCs w:val="18"/>
          <w:i w:val="1"/>
          <w:iCs w:val="1"/>
          <w:color w:val="auto"/>
        </w:rPr>
      </w:pPr>
    </w:p>
    <w:p>
      <w:pPr>
        <w:jc w:val="both"/>
        <w:ind w:left="820" w:hanging="650"/>
        <w:spacing w:after="0" w:line="250" w:lineRule="auto"/>
        <w:tabs>
          <w:tab w:leader="none" w:pos="815"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1"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 materially adverse change in our financial condition;</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adverse consequences of current or future litigation and legal claims; and</w:t>
      </w:r>
    </w:p>
    <w:p>
      <w:pPr>
        <w:spacing w:after="0" w:line="9" w:lineRule="exact"/>
        <w:rPr>
          <w:rFonts w:ascii="Times New Roman" w:cs="Times New Roman" w:eastAsia="Times New Roman" w:hAnsi="Times New Roman"/>
          <w:sz w:val="18"/>
          <w:szCs w:val="18"/>
          <w:i w:val="1"/>
          <w:iCs w:val="1"/>
          <w:color w:val="auto"/>
        </w:rPr>
      </w:pPr>
    </w:p>
    <w:p>
      <w:pPr>
        <w:ind w:left="820" w:hanging="650"/>
        <w:spacing w:after="0"/>
        <w:tabs>
          <w:tab w:leader="none" w:pos="82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changes in accounting judgments and estimates, accounting principles, policies or guidelines.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persons acting on our behalf are expressly qualified in their entirety by these cautionary statements.</w:t>
      </w:r>
    </w:p>
    <w:p>
      <w:pPr>
        <w:spacing w:after="0" w:line="25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Risk. </w:t>
      </w:r>
      <w:r>
        <w:rPr>
          <w:rFonts w:ascii="Times New Roman" w:cs="Times New Roman" w:eastAsia="Times New Roman" w:hAnsi="Times New Roman"/>
          <w:sz w:val="18"/>
          <w:szCs w:val="18"/>
          <w:color w:val="auto"/>
        </w:rPr>
        <w:t>Our exposure to market risk is limited primarily to the fluctuating interest rates associated with variable rate indebtedness.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October 31, 2022, we had approximately $0.7 billion of variable rate indebtedness (after taking into consideration $400.0 million in interest rate swaps which converts variable-rate debt to fixed-rate debt), representing approximately 26% of our total debt outstanding, at an average interest rate during the three months ended October 31, 2022 of approximately 4.0%. Based on variable-rate borrowings outstanding as of October 31, 2022, a 100-basis point (or 1.0%) change in our borrowing rates would result in our annual interest payments changing by approximately $7.3 million. Our market risk exposure fluctuates based on changes in underlying interest rates.</w:t>
      </w:r>
    </w:p>
    <w:p>
      <w:pPr>
        <w:spacing w:after="0" w:line="20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Foreign Currency Exchange Rate Risk. </w:t>
      </w:r>
      <w:r>
        <w:rPr>
          <w:rFonts w:ascii="Times New Roman" w:cs="Times New Roman" w:eastAsia="Times New Roman" w:hAnsi="Times New Roman"/>
          <w:sz w:val="18"/>
          <w:szCs w:val="18"/>
          <w:color w:val="auto"/>
        </w:rPr>
        <w:t>We are exposed to currency translation risk because the results of our international entities are reported in local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currency, 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Andermatt-Sedrun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amounts of foreign currency translation adjustments, representing (losses) gains, and foreign currency (loss) gain on intercompany loans recognized in comprehensive loss (in thousands).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20" w:type="dxa"/>
            <w:vAlign w:val="bottom"/>
            <w:gridSpan w:val="3"/>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r>
      <w:tr>
        <w:trPr>
          <w:trHeight w:val="23"/>
        </w:trPr>
        <w:tc>
          <w:tcPr>
            <w:tcW w:w="78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78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(117,808)</w:t>
            </w:r>
          </w:p>
        </w:tc>
        <w:tc>
          <w:tcPr>
            <w:tcW w:w="44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15,137</w:t>
            </w:r>
          </w:p>
        </w:tc>
      </w:tr>
      <w:tr>
        <w:trPr>
          <w:trHeight w:val="230"/>
        </w:trPr>
        <w:tc>
          <w:tcPr>
            <w:tcW w:w="7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Foreign currency (loss) gain on intercompany loans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4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 over Financial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3, 2022, we completed our acquisition of Andermatt-Sedrun. Andermatt-Sedrun was not previously subject to the rules and regulations promulgated under Sarbanes-Oxley and accordingly was not required to establish and maintain an internal control infrastructure meeting the standards promulgated under Sarbanes-Oxley. Our assessment of and conclusion on the effectiveness of our internal control over financial reporting as of October 31, 2022 did not include certain elements of the internal controls of Andermatt-Sedrun. This exclusion is in accordance with the Securities and Exchange Commission’s general guidance that an assessment of a recently acquired business may be omitted from our scope in the year of acquisition.</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5" w:name="page36"/>
    <w:bookmarkEnd w:id="35"/>
    <w:p>
      <w:pPr>
        <w:spacing w:after="0" w:line="202" w:lineRule="auto"/>
        <w:framePr w:w="9960" w:h="349" w:wrap="auto" w:vAnchor="page" w:hAnchor="page" w:x="1620" w:y="11063"/>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Instance Document - the instance document does not appear in the interactive data file as its XBRL tags are embedded within the inline XBRL document.</w:t>
      </w:r>
    </w:p>
    <w:p>
      <w:pPr>
        <w:spacing w:after="0" w:line="196" w:lineRule="auto"/>
        <w:framePr w:w="2000" w:h="160" w:wrap="auto" w:vAnchor="page" w:hAnchor="page" w:x="1620" w:y="11536"/>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Schema Document.</w:t>
      </w:r>
    </w:p>
    <w:p>
      <w:pPr>
        <w:spacing w:after="0" w:line="196" w:lineRule="auto"/>
        <w:framePr w:w="2980" w:h="160" w:wrap="auto" w:vAnchor="page" w:hAnchor="page" w:x="1620" w:y="11819"/>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Calculation Linkbase Document.</w:t>
      </w:r>
    </w:p>
    <w:p>
      <w:pPr>
        <w:spacing w:after="0" w:line="272" w:lineRule="auto"/>
        <w:framePr w:w="2880" w:h="444" w:wrap="auto" w:vAnchor="page" w:hAnchor="page" w:x="1620" w:y="1210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Definition Linkbase Document. XBRL Label Linkbase Document.</w:t>
      </w:r>
    </w:p>
    <w:p>
      <w:pPr>
        <w:spacing w:after="0" w:line="196" w:lineRule="auto"/>
        <w:framePr w:w="4620" w:h="160" w:wrap="auto" w:vAnchor="page" w:hAnchor="page" w:x="1620" w:y="1267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XBRL Taxonomy Extension Presentation Linkbase Document.</w:t>
      </w:r>
    </w:p>
    <w:p>
      <w:pPr>
        <w:spacing w:after="0" w:line="196" w:lineRule="auto"/>
        <w:framePr w:w="6220" w:h="160" w:wrap="auto" w:vAnchor="page" w:hAnchor="page" w:x="1620" w:y="12953"/>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cover page from this Quarterly Report on Form 10-Q, formatted in inline XBRL.</w:t>
      </w:r>
    </w:p>
    <w:p>
      <w:pPr>
        <w:spacing w:after="0" w:line="185" w:lineRule="auto"/>
        <w:framePr w:w="260" w:h="160" w:wrap="auto" w:vAnchor="page" w:hAnchor="page" w:x="5820" w:y="13817"/>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31, 2021, we completed our acquisition of the Seven Springs Resorts. In accordance with the SEC’s general guidance for recently acquired businesses, our assessment of and conclusion on the effectiveness of our internal control over financial reporting as of the fiscal year ended July 31, 2022 did not include certain elements of the internal controls of the Seven Springs Resorts. However, as of October 31, 2022, the Seven Springs Resorts are now included within our assessment of and conclusion on the effectiveness of our internal control over financial reporting.</w:t>
      </w:r>
    </w:p>
    <w:p>
      <w:pPr>
        <w:spacing w:after="0" w:line="126" w:lineRule="exact"/>
        <w:rPr>
          <w:rFonts w:ascii="Times New Roman" w:cs="Times New Roman" w:eastAsia="Times New Roman" w:hAnsi="Times New Roman"/>
          <w:sz w:val="18"/>
          <w:szCs w:val="18"/>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Excluding Andermatt-Sedrun and the Seven Springs Resorts, there were no changes in the Company’s internal control over financial reporting that occurred during the three months ended October 31, 2022 that have materially affected, or are reasonably likely to materially affect, the Company’s internal control over financial reporting.</w:t>
      </w:r>
    </w:p>
    <w:p>
      <w:pPr>
        <w:spacing w:after="0" w:line="19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rFonts w:ascii="Times New Roman" w:cs="Times New Roman" w:eastAsia="Times New Roman" w:hAnsi="Times New Roman"/>
          <w:sz w:val="18"/>
          <w:szCs w:val="18"/>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w:t>
      </w:r>
    </w:p>
    <w:p>
      <w:pPr>
        <w:spacing w:after="0" w:line="203"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rFonts w:ascii="Times New Roman" w:cs="Times New Roman" w:eastAsia="Times New Roman" w:hAnsi="Times New Roman"/>
          <w:sz w:val="18"/>
          <w:szCs w:val="18"/>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we previously disclosed in our Form 10-K, which was filed on September 28, 2022 as of and for the year ended July 31, 2022.</w:t>
      </w:r>
    </w:p>
    <w:p>
      <w:pPr>
        <w:spacing w:after="0" w:line="185" w:lineRule="exact"/>
        <w:rPr>
          <w:rFonts w:ascii="Times New Roman" w:cs="Times New Roman" w:eastAsia="Times New Roman" w:hAnsi="Times New Roman"/>
          <w:sz w:val="18"/>
          <w:szCs w:val="18"/>
          <w:color w:val="auto"/>
        </w:rPr>
      </w:pPr>
    </w:p>
    <w:p>
      <w:pPr>
        <w:ind w:right="4140"/>
        <w:spacing w:after="0" w:line="349"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2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6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6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67"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8" w:lineRule="exact"/>
        <w:rPr>
          <w:rFonts w:ascii="Times New Roman" w:cs="Times New Roman" w:eastAsia="Times New Roman" w:hAnsi="Times New Roman"/>
          <w:sz w:val="18"/>
          <w:szCs w:val="18"/>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48" w:lineRule="exact"/>
        <w:rPr>
          <w:rFonts w:ascii="Times New Roman" w:cs="Times New Roman" w:eastAsia="Times New Roman" w:hAnsi="Times New Roman"/>
          <w:sz w:val="18"/>
          <w:szCs w:val="18"/>
          <w:color w:val="auto"/>
        </w:rPr>
      </w:pPr>
    </w:p>
    <w:tbl>
      <w:tblPr>
        <w:tblLayout w:type="fixed"/>
        <w:tblInd w:w="20" w:type="dxa"/>
        <w:tblCellMar>
          <w:top w:w="0" w:type="dxa"/>
          <w:left w:w="0" w:type="dxa"/>
          <w:bottom w:w="0" w:type="dxa"/>
          <w:right w:w="0" w:type="dxa"/>
        </w:tblCellMar>
      </w:tblPr>
      <w:tr>
        <w:trPr>
          <w:trHeight w:val="161"/>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20" w:type="dxa"/>
            <w:vAlign w:val="bottom"/>
            <w:gridSpan w:val="2"/>
            <w:vMerge w:val="restart"/>
          </w:tcPr>
          <w:p>
            <w:pPr>
              <w:ind w:left="45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1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2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63"/>
        </w:trPr>
        <w:tc>
          <w:tcPr>
            <w:tcW w:w="13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pursuant to Section 302 of the Sarbanes-Oxley Act of 2002.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76" w:lineRule="exact"/>
        <w:rPr>
          <w:rFonts w:ascii="Times New Roman" w:cs="Times New Roman" w:eastAsia="Times New Roman" w:hAnsi="Times New Roman"/>
          <w:sz w:val="18"/>
          <w:szCs w:val="18"/>
          <w:color w:val="auto"/>
        </w:rPr>
      </w:pPr>
    </w:p>
    <w:p>
      <w:pPr>
        <w:ind w:left="1340" w:right="20" w:hanging="1314"/>
        <w:spacing w:after="0" w:line="250" w:lineRule="auto"/>
        <w:tabs>
          <w:tab w:leader="none" w:pos="1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41"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101.INS</w:t>
      </w:r>
    </w:p>
    <w:p>
      <w:pPr>
        <w:spacing w:after="0" w:line="103"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101.SCH</w:t>
      </w:r>
    </w:p>
    <w:p>
      <w:pPr>
        <w:spacing w:after="0" w:line="77"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101.CAL</w:t>
      </w:r>
    </w:p>
    <w:p>
      <w:pPr>
        <w:spacing w:after="0" w:line="77"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101.DEF</w:t>
      </w:r>
    </w:p>
    <w:p>
      <w:pPr>
        <w:spacing w:after="0" w:line="77"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101.LAB</w:t>
      </w:r>
    </w:p>
    <w:p>
      <w:pPr>
        <w:spacing w:after="0" w:line="77"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101.PRE</w:t>
      </w:r>
    </w:p>
    <w:p>
      <w:pPr>
        <w:spacing w:after="0" w:line="77" w:lineRule="exact"/>
        <w:rPr>
          <w:rFonts w:ascii="Times New Roman" w:cs="Times New Roman" w:eastAsia="Times New Roman" w:hAnsi="Times New Roman"/>
          <w:sz w:val="18"/>
          <w:szCs w:val="18"/>
          <w:color w:val="auto"/>
        </w:rPr>
      </w:pPr>
    </w:p>
    <w:p>
      <w:pPr>
        <w:ind w:left="20"/>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6" w:name="page37"/>
    <w:bookmarkEnd w:id="3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Vail Resorts, Inc.</w:t>
            </w:r>
          </w:p>
        </w:tc>
      </w:tr>
      <w:tr>
        <w:trPr>
          <w:trHeight w:val="49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8, 2022</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Z. Barkin</w:t>
            </w:r>
          </w:p>
        </w:tc>
      </w:tr>
      <w:tr>
        <w:trPr>
          <w:trHeight w:val="218"/>
        </w:trPr>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Michael Z. Barkin</w:t>
            </w:r>
          </w:p>
        </w:tc>
      </w:tr>
      <w:tr>
        <w:trPr>
          <w:trHeight w:val="229"/>
        </w:trPr>
        <w:tc>
          <w:tcPr>
            <w:tcW w:w="36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499"/>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8, 2022</w:t>
            </w:r>
          </w:p>
        </w:tc>
        <w:tc>
          <w:tcPr>
            <w:tcW w:w="24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Nathan Gronberg</w:t>
            </w:r>
          </w:p>
        </w:tc>
      </w:tr>
      <w:tr>
        <w:trPr>
          <w:trHeight w:val="218"/>
        </w:trPr>
        <w:tc>
          <w:tcPr>
            <w:tcW w:w="36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Nathan Gronberg</w:t>
            </w:r>
          </w:p>
        </w:tc>
      </w:tr>
      <w:tr>
        <w:trPr>
          <w:trHeight w:val="180"/>
        </w:trPr>
        <w:tc>
          <w:tcPr>
            <w:tcW w:w="36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820" w:type="dxa"/>
            <w:vAlign w:val="bottom"/>
          </w:tcPr>
          <w:p>
            <w:pPr>
              <w:ind w:left="1300"/>
              <w:spacing w:after="0" w:line="181" w:lineRule="exact"/>
              <w:rPr>
                <w:sz w:val="20"/>
                <w:szCs w:val="20"/>
                <w:color w:val="auto"/>
              </w:rPr>
            </w:pPr>
            <w:r>
              <w:rPr>
                <w:rFonts w:ascii="Times New Roman" w:cs="Times New Roman" w:eastAsia="Times New Roman" w:hAnsi="Times New Roman"/>
                <w:sz w:val="18"/>
                <w:szCs w:val="18"/>
                <w:color w:val="auto"/>
              </w:rPr>
              <w:t>Vice President, Controller and</w:t>
            </w:r>
          </w:p>
        </w:tc>
      </w:tr>
      <w:tr>
        <w:trPr>
          <w:trHeight w:val="234"/>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Accounting Officer</w:t>
            </w:r>
          </w:p>
        </w:tc>
      </w:tr>
      <w:tr>
        <w:trPr>
          <w:trHeight w:val="238"/>
        </w:trPr>
        <w:tc>
          <w:tcPr>
            <w:tcW w:w="364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ectPr>
          <w:pgSz w:w="11900" w:h="16838" w:orient="portrait"/>
          <w:cols w:equalWidth="0" w:num="1">
            <w:col w:w="11200"/>
          </w:cols>
          <w:pgMar w:left="320" w:top="117" w:right="37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Kirsten A. Lynch, certify that:</w:t>
      </w:r>
    </w:p>
    <w:p>
      <w:pPr>
        <w:spacing w:after="0" w:line="387" w:lineRule="exact"/>
        <w:rPr>
          <w:sz w:val="20"/>
          <w:szCs w:val="20"/>
          <w:color w:val="auto"/>
        </w:rPr>
      </w:pPr>
    </w:p>
    <w:p>
      <w:pPr>
        <w:ind w:left="520" w:hanging="172"/>
        <w:spacing w:after="0"/>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4"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520" w:right="40" w:hanging="172"/>
        <w:spacing w:after="0" w:line="226"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1200" w:right="40" w:hanging="681"/>
        <w:spacing w:after="0" w:line="237"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1200" w:right="40" w:hanging="681"/>
        <w:spacing w:after="0" w:line="226"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520" w:right="40" w:hanging="172"/>
        <w:spacing w:after="0" w:line="237" w:lineRule="auto"/>
        <w:tabs>
          <w:tab w:leader="none" w:pos="5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8, 2022</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Kirsten A. Lynch</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Z. Barkin, certify that:</w:t>
      </w:r>
    </w:p>
    <w:p>
      <w:pPr>
        <w:spacing w:after="0" w:line="387" w:lineRule="exact"/>
        <w:rPr>
          <w:sz w:val="20"/>
          <w:szCs w:val="20"/>
          <w:color w:val="auto"/>
        </w:rPr>
      </w:pPr>
    </w:p>
    <w:p>
      <w:pPr>
        <w:ind w:left="520" w:hanging="172"/>
        <w:spacing w:after="0"/>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Vail Resorts, Inc.;</w:t>
      </w:r>
    </w:p>
    <w:p>
      <w:pPr>
        <w:spacing w:after="0" w:line="27" w:lineRule="exact"/>
        <w:rPr>
          <w:rFonts w:ascii="Times New Roman" w:cs="Times New Roman" w:eastAsia="Times New Roman" w:hAnsi="Times New Roman"/>
          <w:sz w:val="18"/>
          <w:szCs w:val="18"/>
          <w:color w:val="auto"/>
        </w:rPr>
      </w:pPr>
    </w:p>
    <w:p>
      <w:pPr>
        <w:jc w:val="both"/>
        <w:ind w:left="520" w:right="40" w:hanging="172"/>
        <w:spacing w:after="0" w:line="229"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 w:lineRule="exact"/>
        <w:rPr>
          <w:rFonts w:ascii="Times New Roman" w:cs="Times New Roman" w:eastAsia="Times New Roman" w:hAnsi="Times New Roman"/>
          <w:sz w:val="18"/>
          <w:szCs w:val="18"/>
          <w:color w:val="auto"/>
        </w:rPr>
      </w:pPr>
    </w:p>
    <w:p>
      <w:pPr>
        <w:jc w:val="both"/>
        <w:ind w:left="520" w:right="40" w:hanging="172"/>
        <w:spacing w:after="0" w:line="231"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Times New Roman" w:cs="Times New Roman" w:eastAsia="Times New Roman" w:hAnsi="Times New Roman"/>
          <w:sz w:val="18"/>
          <w:szCs w:val="18"/>
          <w:color w:val="auto"/>
        </w:rPr>
      </w:pPr>
    </w:p>
    <w:p>
      <w:pPr>
        <w:jc w:val="both"/>
        <w:ind w:left="1200" w:right="40" w:hanging="681"/>
        <w:spacing w:after="0" w:line="229"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8"/>
          <w:szCs w:val="18"/>
          <w:color w:val="auto"/>
        </w:rPr>
      </w:pPr>
    </w:p>
    <w:p>
      <w:pPr>
        <w:ind w:left="1200" w:right="40" w:hanging="681"/>
        <w:spacing w:after="0" w:line="234"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 w:lineRule="exact"/>
        <w:rPr>
          <w:rFonts w:ascii="Times New Roman" w:cs="Times New Roman" w:eastAsia="Times New Roman" w:hAnsi="Times New Roman"/>
          <w:sz w:val="18"/>
          <w:szCs w:val="18"/>
          <w:color w:val="auto"/>
        </w:rPr>
      </w:pPr>
    </w:p>
    <w:p>
      <w:pPr>
        <w:jc w:val="both"/>
        <w:ind w:left="1200" w:right="40" w:hanging="681"/>
        <w:spacing w:after="0" w:line="231"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Times New Roman" w:cs="Times New Roman" w:eastAsia="Times New Roman" w:hAnsi="Times New Roman"/>
          <w:sz w:val="18"/>
          <w:szCs w:val="18"/>
          <w:color w:val="auto"/>
        </w:rPr>
      </w:pPr>
    </w:p>
    <w:p>
      <w:pPr>
        <w:ind w:left="520" w:right="40" w:hanging="172"/>
        <w:spacing w:after="0" w:line="234" w:lineRule="auto"/>
        <w:tabs>
          <w:tab w:leader="none" w:pos="5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1200" w:right="60" w:hanging="681"/>
        <w:spacing w:after="0" w:line="237" w:lineRule="auto"/>
        <w:tabs>
          <w:tab w:leader="none" w:pos="12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8, 2022</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954"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906 OF THE SARBANES-OXLEY ACT OF 2002</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Section 906 of the Sarbanes-Oxley Act of 2002, each of the undersigned hereby certifies in their capacity as an officer of Vail Resorts, Inc. (the “Company”) that the Company's Quarterly Report on Form 10-Q for the quarter ended October 31, 2022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8, 2022</w:t>
      </w:r>
    </w:p>
    <w:p>
      <w:pPr>
        <w:spacing w:after="0" w:line="27" w:lineRule="exact"/>
        <w:rPr>
          <w:sz w:val="20"/>
          <w:szCs w:val="20"/>
          <w:color w:val="auto"/>
        </w:rPr>
      </w:pPr>
    </w:p>
    <w:p>
      <w:pPr>
        <w:ind w:left="7780"/>
        <w:spacing w:after="0"/>
        <w:rPr>
          <w:sz w:val="20"/>
          <w:szCs w:val="20"/>
          <w:color w:val="auto"/>
        </w:rPr>
      </w:pPr>
      <w:r>
        <w:rPr>
          <w:rFonts w:ascii="Times New Roman" w:cs="Times New Roman" w:eastAsia="Times New Roman" w:hAnsi="Times New Roman"/>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0080" cy="8255"/>
                    </a:xfrm>
                    <a:prstGeom prst="rect">
                      <a:avLst/>
                    </a:prstGeom>
                    <a:noFill/>
                  </pic:spPr>
                </pic:pic>
              </a:graphicData>
            </a:graphic>
          </wp:anchor>
        </w:drawing>
      </w:r>
    </w:p>
    <w:p>
      <w:pPr>
        <w:spacing w:after="0" w:line="1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Kirsten A. Lynch</w:t>
      </w:r>
    </w:p>
    <w:p>
      <w:pPr>
        <w:spacing w:after="0" w:line="2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December 8, 2022</w:t>
      </w:r>
    </w:p>
    <w:p>
      <w:pPr>
        <w:spacing w:after="0" w:line="27"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/s/ MICHAEL Z. BARKIN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00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180080" cy="8890"/>
                    </a:xfrm>
                    <a:prstGeom prst="rect">
                      <a:avLst/>
                    </a:prstGeom>
                    <a:noFill/>
                  </pic:spPr>
                </pic:pic>
              </a:graphicData>
            </a:graphic>
          </wp:anchor>
        </w:drawing>
      </w:r>
    </w:p>
    <w:p>
      <w:pPr>
        <w:spacing w:after="0" w:line="11" w:lineRule="exact"/>
        <w:rPr>
          <w:sz w:val="20"/>
          <w:szCs w:val="20"/>
          <w:color w:val="auto"/>
        </w:rPr>
      </w:pPr>
    </w:p>
    <w:p>
      <w:pPr>
        <w:ind w:left="8040"/>
        <w:spacing w:after="0"/>
        <w:rPr>
          <w:sz w:val="20"/>
          <w:szCs w:val="20"/>
          <w:color w:val="auto"/>
        </w:rPr>
      </w:pPr>
      <w:r>
        <w:rPr>
          <w:rFonts w:ascii="Times New Roman" w:cs="Times New Roman" w:eastAsia="Times New Roman" w:hAnsi="Times New Roman"/>
          <w:sz w:val="18"/>
          <w:szCs w:val="18"/>
          <w:color w:val="auto"/>
        </w:rPr>
        <w:t>Michael Z. Barkin</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32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3"/>
    </w:lvl>
  </w:abstractNum>
  <w:abstractNum w:abstractNumId="5">
    <w:nsid w:val="1190CDE7"/>
    <w:multiLevelType w:val="hybridMultilevel"/>
    <w:lvl w:ilvl="0">
      <w:lvlJc w:val="left"/>
      <w:lvlText w:val="(%1)"/>
      <w:numFmt w:val="lowerLetter"/>
      <w:start w:val="1"/>
    </w:lvl>
  </w:abstractNum>
  <w:abstractNum w:abstractNumId="6">
    <w:nsid w:val="66EF438D"/>
    <w:multiLevelType w:val="hybridMultilevel"/>
    <w:lvl w:ilvl="0">
      <w:lvlJc w:val="left"/>
      <w:lvlText w:val="(%1)"/>
      <w:numFmt w:val="lowerLetter"/>
      <w:start w:val="3"/>
    </w:lvl>
  </w:abstractNum>
  <w:abstractNum w:abstractNumId="7">
    <w:nsid w:val="140E0F76"/>
    <w:multiLevelType w:val="hybridMultilevel"/>
    <w:lvl w:ilvl="0">
      <w:lvlJc w:val="left"/>
      <w:lvlText w:val="%1."/>
      <w:numFmt w:val="lowerRoman"/>
      <w:start w:val="1"/>
    </w:lvl>
  </w:abstractNum>
  <w:abstractNum w:abstractNumId="8">
    <w:nsid w:val="3352255A"/>
    <w:multiLevelType w:val="hybridMultilevel"/>
    <w:lvl w:ilvl="0">
      <w:lvlJc w:val="left"/>
      <w:lvlText w:val="%1."/>
      <w:numFmt w:val="lowerRoman"/>
      <w:start w:val="2"/>
    </w:lvl>
    <w:lvl w:ilvl="1">
      <w:lvlJc w:val="left"/>
      <w:lvlText w:val="%2."/>
      <w:numFmt w:val="lowerRoman"/>
      <w:start w:val="4"/>
    </w:lvl>
  </w:abstractNum>
  <w:abstractNum w:abstractNumId="9">
    <w:nsid w:val="109CF92E"/>
    <w:multiLevelType w:val="hybridMultilevel"/>
    <w:lvl w:ilvl="0">
      <w:lvlJc w:val="left"/>
      <w:lvlText w:val="(%1)"/>
      <w:numFmt w:val="lowerLetter"/>
      <w:start w:val="5"/>
    </w:lvl>
  </w:abstractNum>
  <w:abstractNum w:abstractNumId="10">
    <w:nsid w:val="DED7263"/>
    <w:multiLevelType w:val="hybridMultilevel"/>
    <w:lvl w:ilvl="0">
      <w:lvlJc w:val="left"/>
      <w:lvlText w:val="%1."/>
      <w:numFmt w:val="decimal"/>
      <w:start w:val="1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decimal"/>
      <w:start w:val="32"/>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2022-12-08T15:23:52Z</dcterms:created>
  <dcterms:modified xsi:type="dcterms:W3CDTF">2022-12-08T15:23:52Z</dcterms:modified>
</cp:coreProperties>
</file>