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April 30, 2021</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Arial" w:cs="Arial" w:eastAsia="Arial" w:hAnsi="Arial"/>
                <w:sz w:val="18"/>
                <w:szCs w:val="18"/>
                <w:b w:val="1"/>
                <w:bCs w:val="1"/>
                <w:color w:val="auto"/>
              </w:rPr>
              <w:t>51-0291762</w:t>
            </w:r>
          </w:p>
        </w:tc>
        <w:tc>
          <w:tcPr>
            <w:tcW w:w="860" w:type="dxa"/>
            <w:vAlign w:val="bottom"/>
          </w:tcPr>
          <w:p>
            <w:pPr>
              <w:spacing w:after="0"/>
              <w:rPr>
                <w:sz w:val="20"/>
                <w:szCs w:val="20"/>
                <w:color w:val="auto"/>
              </w:rPr>
            </w:pPr>
          </w:p>
        </w:tc>
      </w:tr>
      <w:tr>
        <w:trPr>
          <w:trHeight w:val="129"/>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Arial" w:cs="Arial" w:eastAsia="Arial" w:hAnsi="Arial"/>
                <w:sz w:val="14"/>
                <w:szCs w:val="14"/>
                <w:color w:val="auto"/>
                <w:w w:val="94"/>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Arial" w:cs="Arial" w:eastAsia="Arial" w:hAnsi="Arial"/>
                <w:sz w:val="14"/>
                <w:szCs w:val="14"/>
                <w:color w:val="auto"/>
                <w:w w:val="95"/>
              </w:rPr>
              <w:t>(I.R.S. Employer</w:t>
            </w:r>
          </w:p>
        </w:tc>
        <w:tc>
          <w:tcPr>
            <w:tcW w:w="860" w:type="dxa"/>
            <w:vAlign w:val="bottom"/>
          </w:tcPr>
          <w:p>
            <w:pPr>
              <w:spacing w:after="0"/>
              <w:rPr>
                <w:sz w:val="11"/>
                <w:szCs w:val="11"/>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Incorporation or Organization)</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jc w:val="center"/>
              <w:ind w:right="2100"/>
              <w:spacing w:after="0"/>
              <w:rPr>
                <w:sz w:val="20"/>
                <w:szCs w:val="20"/>
                <w:color w:val="auto"/>
              </w:rPr>
            </w:pPr>
            <w:r>
              <w:rPr>
                <w:rFonts w:ascii="Arial" w:cs="Arial" w:eastAsia="Arial" w:hAnsi="Arial"/>
                <w:sz w:val="14"/>
                <w:szCs w:val="14"/>
                <w:color w:val="auto"/>
                <w:w w:val="97"/>
              </w:rPr>
              <w:t>Identification No.)</w:t>
            </w:r>
          </w:p>
        </w:tc>
      </w:tr>
      <w:tr>
        <w:trPr>
          <w:trHeight w:val="4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Arial" w:cs="Arial" w:eastAsia="Arial" w:hAnsi="Arial"/>
                <w:sz w:val="18"/>
                <w:szCs w:val="18"/>
                <w:b w:val="1"/>
                <w:bCs w:val="1"/>
                <w:color w:val="auto"/>
                <w:w w:val="90"/>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Arial" w:cs="Arial" w:eastAsia="Arial" w:hAnsi="Arial"/>
                <w:sz w:val="18"/>
                <w:szCs w:val="18"/>
                <w:b w:val="1"/>
                <w:bCs w:val="1"/>
                <w:color w:val="auto"/>
              </w:rPr>
              <w:t>80021</w:t>
            </w:r>
          </w:p>
        </w:tc>
        <w:tc>
          <w:tcPr>
            <w:tcW w:w="860" w:type="dxa"/>
            <w:vAlign w:val="bottom"/>
          </w:tcPr>
          <w:p>
            <w:pPr>
              <w:spacing w:after="0"/>
              <w:rPr>
                <w:sz w:val="20"/>
                <w:szCs w:val="20"/>
                <w:color w:val="auto"/>
              </w:rPr>
            </w:pPr>
          </w:p>
        </w:tc>
      </w:tr>
      <w:tr>
        <w:trPr>
          <w:trHeight w:val="176"/>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Arial" w:cs="Arial" w:eastAsia="Arial" w:hAnsi="Arial"/>
                <w:sz w:val="14"/>
                <w:szCs w:val="14"/>
                <w:color w:val="auto"/>
                <w:w w:val="96"/>
              </w:rPr>
              <w:t>(Zip Code)</w:t>
            </w:r>
          </w:p>
        </w:tc>
        <w:tc>
          <w:tcPr>
            <w:tcW w:w="860" w:type="dxa"/>
            <w:vAlign w:val="bottom"/>
          </w:tcPr>
          <w:p>
            <w:pPr>
              <w:spacing w:after="0"/>
              <w:rPr>
                <w:sz w:val="15"/>
                <w:szCs w:val="15"/>
                <w:color w:val="auto"/>
              </w:rPr>
            </w:pPr>
          </w:p>
        </w:tc>
      </w:tr>
      <w:tr>
        <w:trPr>
          <w:trHeight w:val="5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0"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4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right="168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June 3, 2021, 40,268,257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02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20" w:type="dxa"/>
            <w:vAlign w:val="bottom"/>
            <w:gridSpan w:val="10"/>
          </w:tcPr>
          <w:p>
            <w:pPr>
              <w:ind w:left="16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78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tcBorders>
              <w:bottom w:val="single" w:sz="8" w:color="auto"/>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Page</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780" w:type="dxa"/>
            <w:vAlign w:val="bottom"/>
            <w:gridSpan w:val="17"/>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 xml:space="preserve">Consolidated Condensed Balance Sheets as of April </w:t>
              </w:r>
            </w:hyperlink>
            <w:r>
              <w:rPr>
                <w:rFonts w:ascii="Arial" w:cs="Arial" w:eastAsia="Arial" w:hAnsi="Arial"/>
                <w:sz w:val="18"/>
                <w:szCs w:val="18"/>
                <w:color w:val="0000FF"/>
              </w:rPr>
              <w:t xml:space="preserve">30, </w:t>
            </w:r>
            <w:hyperlink w:anchor="page2">
              <w:r>
                <w:rPr>
                  <w:rFonts w:ascii="Arial" w:cs="Arial" w:eastAsia="Arial" w:hAnsi="Arial"/>
                  <w:sz w:val="18"/>
                  <w:szCs w:val="18"/>
                  <w:color w:val="0000FF"/>
                </w:rPr>
                <w:t xml:space="preserve">2021, July 31, 2020 and April </w:t>
              </w:r>
            </w:hyperlink>
            <w:r>
              <w:rPr>
                <w:rFonts w:ascii="Arial" w:cs="Arial" w:eastAsia="Arial" w:hAnsi="Arial"/>
                <w:sz w:val="18"/>
                <w:szCs w:val="18"/>
                <w:color w:val="0000FF"/>
              </w:rPr>
              <w:t xml:space="preserve">30, </w:t>
            </w:r>
            <w:hyperlink w:anchor="page2">
              <w:r>
                <w:rPr>
                  <w:rFonts w:ascii="Arial" w:cs="Arial" w:eastAsia="Arial" w:hAnsi="Arial"/>
                  <w:sz w:val="18"/>
                  <w:szCs w:val="18"/>
                  <w:color w:val="0000FF"/>
                </w:rPr>
                <w:t>2020</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Condensed Statements of Operations for the Three and Nine Months Ended April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2020</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780" w:type="dxa"/>
            <w:vAlign w:val="bottom"/>
            <w:gridSpan w:val="17"/>
          </w:tcPr>
          <w:p>
            <w:pPr>
              <w:ind w:left="140"/>
              <w:spacing w:after="0" w:line="18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 xml:space="preserve">Consolidated Condensed Statements of Comprehensive Income for the Three and Nine Months Ended April </w:t>
              </w:r>
            </w:hyperlink>
            <w:r>
              <w:rPr>
                <w:rFonts w:ascii="Arial" w:cs="Arial" w:eastAsia="Arial" w:hAnsi="Arial"/>
                <w:sz w:val="18"/>
                <w:szCs w:val="18"/>
                <w:color w:val="0000FF"/>
                <w:w w:val="94"/>
              </w:rPr>
              <w:t xml:space="preserve">30, </w:t>
            </w:r>
            <w:hyperlink w:anchor="page4">
              <w:r>
                <w:rPr>
                  <w:rFonts w:ascii="Arial" w:cs="Arial" w:eastAsia="Arial" w:hAnsi="Arial"/>
                  <w:sz w:val="18"/>
                  <w:szCs w:val="18"/>
                  <w:color w:val="0000FF"/>
                  <w:w w:val="94"/>
                </w:rPr>
                <w:t>2021 and 2020</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Consolidated Condensed Statements of Stockholders’ Equity for the Three and Nine Months Ended April </w:t>
              </w:r>
            </w:hyperlink>
            <w:r>
              <w:rPr>
                <w:rFonts w:ascii="Arial" w:cs="Arial" w:eastAsia="Arial" w:hAnsi="Arial"/>
                <w:sz w:val="18"/>
                <w:szCs w:val="18"/>
                <w:color w:val="0000FF"/>
                <w:w w:val="97"/>
              </w:rPr>
              <w:t xml:space="preserve">30, </w:t>
            </w:r>
            <w:hyperlink w:anchor="page5">
              <w:r>
                <w:rPr>
                  <w:rFonts w:ascii="Arial" w:cs="Arial" w:eastAsia="Arial" w:hAnsi="Arial"/>
                  <w:sz w:val="18"/>
                  <w:szCs w:val="18"/>
                  <w:color w:val="0000FF"/>
                  <w:w w:val="97"/>
                </w:rPr>
                <w:t>2021 and 2020</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Condensed Statements of Cash Flows for the Nine Months Ended April </w:t>
              </w:r>
            </w:hyperlink>
            <w:r>
              <w:rPr>
                <w:rFonts w:ascii="Arial" w:cs="Arial" w:eastAsia="Arial" w:hAnsi="Arial"/>
                <w:sz w:val="18"/>
                <w:szCs w:val="18"/>
                <w:color w:val="0000FF"/>
              </w:rPr>
              <w:t xml:space="preserve">30, </w:t>
            </w:r>
            <w:hyperlink w:anchor="page7">
              <w:r>
                <w:rPr>
                  <w:rFonts w:ascii="Arial" w:cs="Arial" w:eastAsia="Arial" w:hAnsi="Arial"/>
                  <w:sz w:val="18"/>
                  <w:szCs w:val="18"/>
                  <w:color w:val="0000FF"/>
                </w:rPr>
                <w:t>2021 and 2020</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7"/>
          </w:tcPr>
          <w:p>
            <w:pPr>
              <w:ind w:left="14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Defaults Upon Senior Securities</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Mine Safety Disclosures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7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600" w:type="dxa"/>
            <w:vAlign w:val="bottom"/>
            <w:tcBorders>
              <w:right w:val="single" w:sz="8" w:color="CCEEFF"/>
            </w:tcBorders>
            <w:gridSpan w:val="3"/>
            <w:shd w:val="clear" w:color="auto" w:fill="CCEEFF"/>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780" w:type="dxa"/>
            <w:vAlign w:val="bottom"/>
            <w:gridSpan w:val="17"/>
          </w:tcPr>
          <w:p>
            <w:pPr>
              <w:ind w:left="14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600" w:type="dxa"/>
            <w:vAlign w:val="bottom"/>
            <w:gridSpan w:val="3"/>
          </w:tcPr>
          <w:p>
            <w:pPr>
              <w:jc w:val="right"/>
              <w:ind w:right="20"/>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9"/>
        </w:trPr>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2020</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April 30, 2020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1,344,702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390,980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482,656</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11,684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11,106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208,132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106,664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100,225</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73,044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101,856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101,748</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47,253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54,482</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55,790</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1,684,815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665,088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750,878</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2,116,795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2,192,679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2,201,803</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Real estate held for sale and investment</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96,259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96,844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96,565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7)</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1,801,296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1,709,020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1,673,258</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323,521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314,776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310,033</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211,497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225,744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217,318</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42,454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40,081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39,797</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6,276,637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5,244,232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5,289,652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567,264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499,108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449,274</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36,344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40,680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42,554</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113,454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63,677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63,566</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717,062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603,465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555,394</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2,739,981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2,387,122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2,365,372</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196,256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217,542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209,321</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Other long-term liabilities (Note 7)</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252,451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270,245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251,464</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344,190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234,191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277,841</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4,249,940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3,712,565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3,659,392</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Preferred stock, $0.01 par value, 25,000 shares authorized, no shares issued</w:t>
            </w:r>
          </w:p>
        </w:tc>
        <w:tc>
          <w:tcPr>
            <w:tcW w:w="3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3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100,000 shares authorized, 46,429, 46,350</w:t>
            </w:r>
          </w:p>
        </w:tc>
        <w:tc>
          <w:tcPr>
            <w:tcW w:w="38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and 46,266 shares issued, respectively</w:t>
            </w:r>
          </w:p>
        </w:tc>
        <w:tc>
          <w:tcPr>
            <w:tcW w:w="3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Exchangeable shares, $0.01 par value, 34, 36 and 54 shares issued and</w:t>
            </w:r>
          </w:p>
        </w:tc>
        <w:tc>
          <w:tcPr>
            <w:tcW w:w="3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3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1,220,942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1,131,624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1,136,139</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50,643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(109,576)</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914,563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645,902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799,508</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Treasury stock, at cost, 6,161, 6,161, and 6,161 shares, respectively (Note 11)</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38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1,782,202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1,316,742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1,422,123</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244,495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214,925</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208,137</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2,026,697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1,531,667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1,630,260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6,276,637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5,244,232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5,289,652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794,393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582,890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1,495,777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1,516,679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93,885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208,362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365,032</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888,278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1,704,139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1,881,711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889,078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1,705,508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1,886,495</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Operating expense (exclusive of depreciation and amortization shown</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317,836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765,944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902,316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90,435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73,294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210,444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227,175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427,067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1,066,823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1,277,024</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5,088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429,090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1,071,911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1,284,950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(186,387)</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impairments (Notes 2 &amp; 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w w:val="96"/>
              </w:rPr>
              <w:t>Change in estimated fair value of contingent consideration (Note 8)</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(12,202)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Gain (loss) on disposal of fixed assets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387,705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431,460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393,435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equity investment income (loss),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6,177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Foreign currency gain (loss) on intercompany loans</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4,157</w:t>
            </w:r>
          </w:p>
        </w:tc>
        <w:tc>
          <w:tcPr>
            <w:tcW w:w="3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9,832</w:t>
            </w:r>
          </w:p>
        </w:tc>
        <w:tc>
          <w:tcPr>
            <w:tcW w:w="3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135"/>
        </w:trPr>
        <w:tc>
          <w:tcPr>
            <w:tcW w:w="53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(Note 5)</w:t>
            </w:r>
          </w:p>
        </w:tc>
        <w:tc>
          <w:tcPr>
            <w:tcW w:w="3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(112,287)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354,187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336,039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314,210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277,290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269,399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274,629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152,546</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268,661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252,441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Per share amounts (Note 4):</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net income per share attributable to Vail Resorts, Inc.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Diluted net income per share attributable to Vail Resorts,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April 30,</w:t>
            </w:r>
          </w:p>
        </w:tc>
      </w:tr>
      <w:tr>
        <w:trPr>
          <w:trHeight w:val="210"/>
        </w:trPr>
        <w:tc>
          <w:tcPr>
            <w:tcW w:w="54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277,290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269,399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267,020</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54,910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132,167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(78,260)</w:t>
            </w: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3,610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9,572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335,810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411,138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167,747</w:t>
            </w:r>
          </w:p>
        </w:tc>
      </w:tr>
      <w:tr>
        <w:trPr>
          <w:trHeight w:val="230"/>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Comprehensive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317,046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376,141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174,595</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72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87"/>
              </w:rPr>
              <w:t>Resorts, Inc.</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6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Paid in Capital</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3"/>
              </w:rPr>
              <w:t>Earnings</w:t>
            </w: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Exchangeable</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$ 1,130,906</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717,646</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(379,433)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1,425,482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1,650,198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152,546</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159,831</w:t>
            </w:r>
          </w:p>
        </w:tc>
        <w:tc>
          <w:tcPr>
            <w:tcW w:w="0" w:type="dxa"/>
            <w:vAlign w:val="bottom"/>
          </w:tcPr>
          <w:p>
            <w:pPr>
              <w:spacing w:after="0"/>
              <w:rPr>
                <w:sz w:val="1"/>
                <w:szCs w:val="1"/>
                <w:color w:val="auto"/>
              </w:rPr>
            </w:pPr>
          </w:p>
        </w:tc>
      </w:tr>
      <w:tr>
        <w:trPr>
          <w:trHeight w:val="166"/>
        </w:trPr>
        <w:tc>
          <w:tcPr>
            <w:tcW w:w="3140" w:type="dxa"/>
            <w:vAlign w:val="bottom"/>
          </w:tcPr>
          <w:p>
            <w:pPr>
              <w:ind w:left="120"/>
              <w:spacing w:after="0" w:line="166"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(49,026)</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(49,026)</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(20,209)</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(69,235)</w:t>
            </w:r>
          </w:p>
        </w:tc>
        <w:tc>
          <w:tcPr>
            <w:tcW w:w="0" w:type="dxa"/>
            <w:vAlign w:val="bottom"/>
          </w:tcPr>
          <w:p>
            <w:pPr>
              <w:spacing w:after="0"/>
              <w:rPr>
                <w:sz w:val="1"/>
                <w:szCs w:val="1"/>
                <w:color w:val="auto"/>
              </w:rPr>
            </w:pPr>
          </w:p>
        </w:tc>
      </w:tr>
      <w:tr>
        <w:trPr>
          <w:trHeight w:val="209"/>
        </w:trPr>
        <w:tc>
          <w:tcPr>
            <w:tcW w:w="3140" w:type="dxa"/>
            <w:vAlign w:val="bottom"/>
          </w:tcPr>
          <w:p>
            <w:pPr>
              <w:ind w:left="12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(16,450)</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instruments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comprehensive income (loss)</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87,070</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(12,924)</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74,146</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(70,684)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(70,684)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(70,684)</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April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$ 1,136,139</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(109,576)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799,508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1,422,123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208,137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1,630,260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Balance, January 31, 2021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465</w:t>
            </w:r>
          </w:p>
        </w:tc>
        <w:tc>
          <w:tcPr>
            <w:tcW w:w="5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$ 1,216,489</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8,226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639,934</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1,460,703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225,743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1,686,446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274,629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274,629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2,661</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277,290</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38,807</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38,807</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16,103</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54,910</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tax</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120"/>
              <w:spacing w:after="0" w:line="166"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3,610</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3,610</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3,610</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317,046</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18,764</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335,810</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6,184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6,184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April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5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$ 1,220,942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914,563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1,782,202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2,026,697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72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87"/>
              </w:rPr>
              <w:t>Resorts, Inc.</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right"/>
              <w:ind w:right="6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Paid in Capital</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3"/>
              </w:rPr>
              <w:t>Earnings</w:t>
            </w: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3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Exchangeable</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5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$ 1,130,083</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759,801</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(357,989)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1,500,627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1,726,840</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252,441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252,441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267,020</w:t>
            </w:r>
          </w:p>
        </w:tc>
        <w:tc>
          <w:tcPr>
            <w:tcW w:w="0" w:type="dxa"/>
            <w:vAlign w:val="bottom"/>
          </w:tcPr>
          <w:p>
            <w:pPr>
              <w:spacing w:after="0"/>
              <w:rPr>
                <w:sz w:val="1"/>
                <w:szCs w:val="1"/>
                <w:color w:val="auto"/>
              </w:rPr>
            </w:pPr>
          </w:p>
        </w:tc>
      </w:tr>
      <w:tr>
        <w:trPr>
          <w:trHeight w:val="166"/>
        </w:trPr>
        <w:tc>
          <w:tcPr>
            <w:tcW w:w="3140" w:type="dxa"/>
            <w:vAlign w:val="bottom"/>
          </w:tcPr>
          <w:p>
            <w:pPr>
              <w:ind w:left="120"/>
              <w:spacing w:after="0" w:line="166"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(56,833)</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(56,833)</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(21,427)</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(78,260)</w:t>
            </w:r>
          </w:p>
        </w:tc>
        <w:tc>
          <w:tcPr>
            <w:tcW w:w="0" w:type="dxa"/>
            <w:vAlign w:val="bottom"/>
          </w:tcPr>
          <w:p>
            <w:pPr>
              <w:spacing w:after="0"/>
              <w:rPr>
                <w:sz w:val="1"/>
                <w:szCs w:val="1"/>
                <w:color w:val="auto"/>
              </w:rPr>
            </w:pPr>
          </w:p>
        </w:tc>
      </w:tr>
      <w:tr>
        <w:trPr>
          <w:trHeight w:val="209"/>
        </w:trPr>
        <w:tc>
          <w:tcPr>
            <w:tcW w:w="3140" w:type="dxa"/>
            <w:vAlign w:val="bottom"/>
          </w:tcPr>
          <w:p>
            <w:pPr>
              <w:ind w:left="120"/>
              <w:spacing w:after="0"/>
              <w:rPr>
                <w:sz w:val="20"/>
                <w:szCs w:val="20"/>
                <w:color w:val="auto"/>
              </w:rPr>
            </w:pPr>
            <w:r>
              <w:rPr>
                <w:rFonts w:ascii="Arial" w:cs="Arial" w:eastAsia="Arial" w:hAnsi="Arial"/>
                <w:sz w:val="16"/>
                <w:szCs w:val="16"/>
                <w:color w:val="auto"/>
              </w:rPr>
              <w:t>of tax</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(21,013)</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(21,013)</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(21,013)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instruments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comprehensive income (loss)</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174,595</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(6,848)</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167,747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16,127</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(10,071)</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(10,070)</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 (Note 11)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(212,734)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(212,734)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(212,734)</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April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$ 1,136,139</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(109,576)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799,508</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1,422,123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208,137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1,630,260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Balance, July 31, 2020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464</w:t>
            </w:r>
          </w:p>
        </w:tc>
        <w:tc>
          <w:tcPr>
            <w:tcW w:w="5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$ 1,131,624</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(56,837)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645,902</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1,316,742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214,925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1,531,667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268,661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268,661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738</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269,399</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3"/>
              </w:rPr>
              <w:t>Foreign currency translation adjustments, net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97,908</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97,908</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34,259</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132,167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tax</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120"/>
              <w:spacing w:after="0" w:line="166" w:lineRule="exact"/>
              <w:rPr>
                <w:sz w:val="20"/>
                <w:szCs w:val="20"/>
                <w:color w:val="auto"/>
              </w:rPr>
            </w:pPr>
            <w:r>
              <w:rPr>
                <w:rFonts w:ascii="Arial" w:cs="Arial" w:eastAsia="Arial" w:hAnsi="Arial"/>
                <w:sz w:val="16"/>
                <w:szCs w:val="16"/>
                <w:color w:val="auto"/>
              </w:rPr>
              <w:t>Change in estimated fair value of hedging</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9,572</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9,572</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9,572</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comprehensive income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376,141</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34,997</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411,138</w:t>
            </w:r>
          </w:p>
        </w:tc>
        <w:tc>
          <w:tcPr>
            <w:tcW w:w="0" w:type="dxa"/>
            <w:vAlign w:val="bottom"/>
          </w:tcPr>
          <w:p>
            <w:pPr>
              <w:spacing w:after="0"/>
              <w:rPr>
                <w:sz w:val="1"/>
                <w:szCs w:val="1"/>
                <w:color w:val="auto"/>
              </w:rPr>
            </w:pPr>
          </w:p>
        </w:tc>
      </w:tr>
      <w:tr>
        <w:trPr>
          <w:trHeight w:val="146"/>
        </w:trPr>
        <w:tc>
          <w:tcPr>
            <w:tcW w:w="3140" w:type="dxa"/>
            <w:vAlign w:val="bottom"/>
          </w:tcPr>
          <w:p>
            <w:pPr>
              <w:ind w:left="20"/>
              <w:spacing w:after="0" w:line="146" w:lineRule="exact"/>
              <w:rPr>
                <w:sz w:val="20"/>
                <w:szCs w:val="20"/>
                <w:color w:val="auto"/>
              </w:rPr>
            </w:pPr>
            <w:r>
              <w:rPr>
                <w:rFonts w:ascii="Arial" w:cs="Arial" w:eastAsia="Arial" w:hAnsi="Arial"/>
                <w:sz w:val="16"/>
                <w:szCs w:val="16"/>
                <w:color w:val="auto"/>
                <w:w w:val="96"/>
              </w:rPr>
              <w:t>Equity component of 0.0% Convertible Notes,</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net (Note 5)</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18,517</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89"/>
              </w:rPr>
              <w:t>Issuance of shares under share award plans, net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(9,265)</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(9,264)</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of shares withheld for employee taxes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net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April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$ 1,220,942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914,563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(404,411)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1,782,202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2"/>
              </w:rPr>
              <w:t>2,026,697</w:t>
            </w:r>
          </w:p>
        </w:tc>
        <w:tc>
          <w:tcPr>
            <w:tcW w:w="0" w:type="dxa"/>
            <w:vAlign w:val="bottom"/>
          </w:tcPr>
          <w:p>
            <w:pPr>
              <w:spacing w:after="0"/>
              <w:rPr>
                <w:sz w:val="1"/>
                <w:szCs w:val="1"/>
                <w:color w:val="auto"/>
              </w:rPr>
            </w:pP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0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269,399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267,020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189,362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186,387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28,372</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18,517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16,127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69,063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non-cash expense (income),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580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(8,605)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(99,727)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172,735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30,680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86,278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(85,346)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(132,366)</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 -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(18,580)</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14,915</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w:t>
            </w:r>
          </w:p>
        </w:tc>
      </w:tr>
      <w:tr>
        <w:trPr>
          <w:trHeight w:val="213"/>
        </w:trPr>
        <w:tc>
          <w:tcPr>
            <w:tcW w:w="7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551,137</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466,979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(145,772)</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(327,555)</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10,579</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r>
      <w:tr>
        <w:trPr>
          <w:trHeight w:val="209"/>
        </w:trPr>
        <w:tc>
          <w:tcPr>
            <w:tcW w:w="78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(75,016)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(466,478)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892,625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21,144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202,304</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borrowings under 0.0% Convertible Notes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575,000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(396,250)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(44,050)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(39,044)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(212,734)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(46,422)</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(21,638)</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(19,034)</w:t>
            </w:r>
          </w:p>
        </w:tc>
      </w:tr>
      <w:tr>
        <w:trPr>
          <w:trHeight w:val="209"/>
        </w:trPr>
        <w:tc>
          <w:tcPr>
            <w:tcW w:w="78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474,316</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371,374</w:t>
            </w: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3,863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2,851</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954,300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374,726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402,086</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118,389</w:t>
            </w:r>
          </w:p>
        </w:tc>
      </w:tr>
      <w:tr>
        <w:trPr>
          <w:trHeight w:val="210"/>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1,356,386</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493,115</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8"/>
        </w:trPr>
        <w:tc>
          <w:tcPr>
            <w:tcW w:w="7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7,299</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w:t>
            </w: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92140" cy="377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2020.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2020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 The Company tests goodwill and indefinite-lived intangible assets for impairment annually (or more often, if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as of May 1, and tests definite-lived assets for impairment whenever events or changes in circumstances indicate that the carrying amount of an asset may not be fully recoverable. As a result of the coronavirus (COVID-19) pandemic and the impact it had on the Company’s operations during the three and nine months ended April 30, 2020, the Company determined that it was appropriate to test certain assets within its Colorado resort ground transportation company for impairment as of April 30, 2020. The Company’s testing for goodwill and indefinite-lived intangible asset impairment consists of a comparison of the estimated fair value of those assets with their net carrying values. If the net carrying value of the assets exceed their estimated fair value, an impairment will be recognized for indefinite-lived intangibles, including goodwill, in an amount equal to that excess; otherwise, no impairment loss is recognized. As further discussed in Note 7, the Company recorded an impairment of approximately $28.4 million related to its Colorado resort ground transportation company during the three and nine months ended April 30, 2020, which was recorded within asset impairments on the Company’s Consolidated Condensed Statements of Operations, with corresponding reductions to goodwill, net of $25.7 million and to intangible assets, net and property, plant and equipment, net of $2.7 million. See Note 7, Supplementary Balance Sheet Information, for additional information.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recorded amounts for cash and cash equivalents, restricted cash, receivables, other current assets and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values of the 6.25% Notes and the 0.0% Convertible Notes (each as defined in Note 5, Long-Term Debt) are based on quoted market prices (a Level 2 input). The estimated fair value of the EPR Secured Notes and EB-5 Development Notes (each as defined in Note 5, Long-Term Debt), have been estimated using analyses based on current borrowing rates for debt with similar remaining maturities and ratings (a Level 2 input).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 carrying values, including any unamortized premium or discount, and estimated fair values of the 6.25% Notes, 0.0% Convertible Notes, EPR Secured Notes and EB-5 Development Notes as of April 30, 2021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4"/>
                <w:szCs w:val="14"/>
                <w:b w:val="1"/>
                <w:bCs w:val="1"/>
                <w:color w:val="auto"/>
              </w:rPr>
              <w:t>April 30, 2021</w:t>
            </w:r>
          </w:p>
        </w:tc>
      </w:tr>
      <w:tr>
        <w:trPr>
          <w:trHeight w:val="187"/>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638,592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472,757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612,553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136,112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199,426</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EB-5 Development Notes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49,774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Early adoption is permitted, but no earlier than fiscal years beginning after December 15, 2020, including interim periods within those fiscal years (the Company’s first quarter of the fiscal year ending July 31, 2022), and the guidance allows for a modified retrospective or fully retrospective method of transition. The Company is in the process of evaluating the effect that the adoption of this standard will have on its Consolidated Condensed Financial Statements, and expects to adopt this standard on August 1, 2022.</w:t>
      </w:r>
    </w:p>
    <w:p>
      <w:pPr>
        <w:spacing w:after="0" w:line="20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2020/2021 North American Credit Offer and Epic Coverage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COVID-19 pandemic, the Company closed its North American destination mountain resorts, regional ski areas and retail stores early during the 2019/2020 North American ski season, beginning on March 15, 2020. Subsequently, the Company announced a credit offer for all existing 2019/2020 North American ski season pass product holders to purchase 2020/2021 North American ski season pass products at a discount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The Credit Offer was considered a contract modification which constituted a material right to 2019/2020 North American ski season guests and, as such, represents a separate performance obligation to which the Company allocated a transaction price of approximately $120.9 million. As a result, the Company deferred $120.9 million of pass product revenue, which would have otherwise been recognized as lift revenue during the year ended July 31, 2020. The Credit Offer expired on September 17, 2020 and the Company recorded $15.4 million as lift revenue during the three months ended October 31, 2020, which was the amount of Credit Offer discounts that were not redeemed. The remaining deferred revenue associated with the Credit Offer was recognized as lift revenue primarily during the 2020/2021 North American ski season, as the performance obligations were satisfied.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In April 2020, the Company announced Epic Coverage, which is included with the purchase of all North American pass products for no additional charge. Epic Coverage offers refunds to North American pass product holders if certain qualifying personal or resort closure events occur before or during the North American ski season. The estimated amount of refunds reduce the amount of pass product revenue recognized by the Company. To estimate the amount of refunds under Epic Coverage, the Company considered (i) historical claims data for personal events, (ii) provincial, state, county and local COVID-19 regulations and public health orders, (iii) the ability for the Company’s pass holders to make reservations on their preferred days (for only the 2020/2021 North American ski season, during which the Company utilized a reservation system), and (iv) the Company’s operating plans for its resorts. The Company believes the estimates of refunds are reasonable; however, actual results could vary materially from such estimates, and such estimates will be remeasured at each reporting date.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for the 2020/2021 North American ski season, the Company introduced Epic Mountain Rewards, a program which provides pass product holders a discount of 20% off on-mountain food and beverage, lodging, group ski and ride school lessons, equipment rentals and more at the Company’s North American owned and operated Resorts. Epic Mountain Rewards constitutes a material right to pass product holders and as a result, the Company allocates a portion of the pass product transaction price to these other lines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nine months ended April 30, 2021 and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58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Nine Months Ended April 30,</w:t>
            </w:r>
          </w:p>
        </w:tc>
      </w:tr>
      <w:tr>
        <w:trPr>
          <w:trHeight w:val="209"/>
        </w:trPr>
        <w:tc>
          <w:tcPr>
            <w:tcW w:w="53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Lift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577,680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374,818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1,041,546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900,995</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80,390</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138,824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187,840</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Dining</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45,294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80,172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158,980</w:t>
            </w: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91,286</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203,718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259,761</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34,533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101,092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154,105</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829,183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635,304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1,565,352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1,661,681</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10,252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24,325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39,323</w:t>
            </w: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Managed condominium rooms</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28,726</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58,391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69,984</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Dining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4,849</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8,807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37,353</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Transportation</w:t>
            </w:r>
          </w:p>
        </w:tc>
        <w:tc>
          <w:tcPr>
            <w:tcW w:w="32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7,610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15,748</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Golf</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8,646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r>
      <w:tr>
        <w:trPr>
          <w:trHeight w:val="229"/>
        </w:trPr>
        <w:tc>
          <w:tcPr>
            <w:tcW w:w="5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8,652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25,834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37,411</w:t>
            </w:r>
          </w:p>
        </w:tc>
      </w:tr>
      <w:tr>
        <w:trPr>
          <w:trHeight w:val="223"/>
        </w:trPr>
        <w:tc>
          <w:tcPr>
            <w:tcW w:w="5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57,142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133,613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210,425</w:t>
            </w:r>
          </w:p>
        </w:tc>
      </w:tr>
      <w:tr>
        <w:trPr>
          <w:trHeight w:val="229"/>
        </w:trPr>
        <w:tc>
          <w:tcPr>
            <w:tcW w:w="5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Payroll cost reimbursements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5,174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59,095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138,787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220,030</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888,278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693,689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1,704,139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1,881,711</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889,078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694,087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1,705,508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1,886,495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balances of a short-term nature were $238.1 million and $256.4 million as of April 30, 2021 and July 31, 2020, respectively. Deferred revenue balances of a long-term nature, comprised primarily of long-term private club initiation fee revenue, were $120.8 million and $121.9 million as of April 30, 2021 and July 31, 2020, respectively. For the three and nine months ended April 30, 2021, the Company recognized approximately $89.8 million and $225.9 million, respectively, of revenue that was included in the deferred revenue balance as of July 31, 2020. As of April 30, 2021, the weighted average remaining period over which revenue for unsatisfied performance obligations on long-term private club contracts will be recognized was approximately 16 years. Trade receivables, net were $208.1 million and $106.7 million as of April 30, 2021 and July 31, 2020,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April 30, 2021, $1.0 million of costs to obtain contracts with customers were recorded within other current assets on the Company’s Consolidated Condensed Balance Sheet. The amounts capitalized are subject to amortization commensurate with the revenue recognized for related skier visits. The Company recorded amortization of $8.6 million and $16.4 million, respectively, for these costs during the three and nine months ended April 30, 2021, which was recorded within Mountain and Lodging operating expenses on the Company’s Consolidated Condensed Statement of Operations.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April 30, 2021 and 2020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r>
      <w:tr>
        <w:trPr>
          <w:trHeight w:val="183"/>
        </w:trPr>
        <w:tc>
          <w:tcPr>
            <w:tcW w:w="5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274,629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274,629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152,546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152,546</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40,262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40,262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40,183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40,183</w:t>
            </w:r>
          </w:p>
        </w:tc>
      </w:tr>
      <w:tr>
        <w:trPr>
          <w:trHeight w:val="229"/>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40,296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40,296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40,237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40,237</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40,296</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40,896</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40,237</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1,000 and 4,000 for the three months ended April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Presented below is basic and diluted EPS for the nine months ended April 30, 2021 and 2020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Nine Months Ended April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r>
      <w:tr>
        <w:trPr>
          <w:trHeight w:val="183"/>
        </w:trPr>
        <w:tc>
          <w:tcPr>
            <w:tcW w:w="5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268,661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268,661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252,441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252,441</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40,242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40,242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40,244</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40,244</w:t>
            </w:r>
          </w:p>
        </w:tc>
      </w:tr>
      <w:tr>
        <w:trPr>
          <w:trHeight w:val="229"/>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40,277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40,277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40,299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40,299</w:t>
            </w: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40,277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40,807</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40,299</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share-based awards excluded from the calculation of diluted EPS because the effect of their inclusion would have been anti-dilutive totaled approximately 2,000 and 1,000 for the nine months ended April 30, 2021 and 2020, respectively.</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of $407.17 per share of common stock,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three and nine months ended April 30, 2021, the average price of Vail Shares did not exceed the conversion price and therefore there was no impact to diluted EPS during those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did not pay cash dividends during the three and nine months ended April 30, 2021. During the three and nine months ended April 30, 2020, the Company paid cash dividends of $1.76 and $5.28 per share, respectively ($70.7 million and $212.7 million, respectively, in the aggregate).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April 30, 2021, July 31, 2020 and April 30, 2020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Maturity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April 30, 2021</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July 31, 2020</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April 30, 2020</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1,156,250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1,203,125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1,218,750</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89"/>
              </w:rPr>
              <w:t>2024</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0.0% Convertible Notes (b)</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89"/>
              </w:rPr>
              <w:t>2026</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(c)</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2024</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40,681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58,236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214,101</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EPR Secured Notes (d)</w:t>
            </w:r>
          </w:p>
        </w:tc>
        <w:tc>
          <w:tcPr>
            <w:tcW w:w="1360" w:type="dxa"/>
            <w:vAlign w:val="bottom"/>
          </w:tcPr>
          <w:p>
            <w:pPr>
              <w:jc w:val="center"/>
              <w:ind w:left="52"/>
              <w:spacing w:after="0"/>
              <w:rPr>
                <w:sz w:val="20"/>
                <w:szCs w:val="20"/>
                <w:color w:val="auto"/>
              </w:rPr>
            </w:pPr>
            <w:r>
              <w:rPr>
                <w:rFonts w:ascii="Arial" w:cs="Arial" w:eastAsia="Arial" w:hAnsi="Arial"/>
                <w:sz w:val="18"/>
                <w:szCs w:val="18"/>
                <w:color w:val="auto"/>
                <w:w w:val="90"/>
              </w:rPr>
              <w:t>2034-2036</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114,162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EB-5 Development Notes</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2021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51,500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51,500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360" w:type="dxa"/>
            <w:vAlign w:val="bottom"/>
          </w:tcPr>
          <w:p>
            <w:pPr>
              <w:jc w:val="center"/>
              <w:ind w:left="52"/>
              <w:spacing w:after="0"/>
              <w:rPr>
                <w:sz w:val="20"/>
                <w:szCs w:val="20"/>
                <w:color w:val="auto"/>
              </w:rPr>
            </w:pPr>
            <w:r>
              <w:rPr>
                <w:rFonts w:ascii="Arial" w:cs="Arial" w:eastAsia="Arial" w:hAnsi="Arial"/>
                <w:sz w:val="18"/>
                <w:szCs w:val="18"/>
                <w:color w:val="auto"/>
                <w:w w:val="90"/>
              </w:rPr>
              <w:t>2027-2039</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52,575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9"/>
              </w:rPr>
              <w:t>2063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350,373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346,034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344,591</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0"/>
              </w:rPr>
              <w:t>2021-2033</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17,647</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18,616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w:t>
            </w:r>
          </w:p>
        </w:tc>
      </w:tr>
      <w:tr>
        <w:trPr>
          <w:trHeight w:val="223"/>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2,958,188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2,444,248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2,414,701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w w:val="95"/>
              </w:rPr>
              <w:t>Less: Unamortized premiums, discounts and debt issuance costs (b)</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104,753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(14,237)</w:t>
            </w: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3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113,454</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63,677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63,566</w:t>
            </w:r>
          </w:p>
        </w:tc>
      </w:tr>
      <w:tr>
        <w:trPr>
          <w:trHeight w:val="223"/>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2,739,981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2,387,122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2,365,372</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80" w:hanging="329"/>
        <w:spacing w:after="0" w:line="254" w:lineRule="auto"/>
        <w:tabs>
          <w:tab w:leader="none" w:pos="57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18, 2020, Vail Holdings, Inc. (“VHI”), certain subsidiaries of the Company, as guarantors, Bank of America, N.A., as administrative agent, and certain Lenders entered into a Fourth Amendment to the Vail Holdings Credit Agreement (the “Fourth Amendment”). Pursuant to the Fourth Amendment, among other terms, VHI is exempt from complying with the Vail Holdings Credit Agreement’s maximum leverage ratio, senior secured leverage ratio and minimum interest coverage ratio financial maintenance covenants for each of the fiscal quarters ending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 2022 (or such earlier fiscal quarter as elected by VHI). After the expiration of the Financial Covenants Temporary Waiver Period:</w:t>
      </w:r>
    </w:p>
    <w:p>
      <w:pPr>
        <w:spacing w:after="0" w:line="8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252"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The Company will be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980" w:hanging="405"/>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paying any dividends or making share repurchases,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24" w:lineRule="exact"/>
        <w:rPr>
          <w:rFonts w:ascii="Arial" w:cs="Arial" w:eastAsia="Arial" w:hAnsi="Arial"/>
          <w:sz w:val="18"/>
          <w:szCs w:val="18"/>
          <w:color w:val="auto"/>
        </w:rPr>
      </w:pPr>
    </w:p>
    <w:p>
      <w:pPr>
        <w:ind w:left="980" w:hanging="405"/>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incurring indebtedness secured by the collateral under the Vail Holdings Credit Agreement in an amount in excess of $1.75 billion; and</w:t>
      </w:r>
    </w:p>
    <w:p>
      <w:pPr>
        <w:spacing w:after="0" w:line="74" w:lineRule="exact"/>
        <w:rPr>
          <w:rFonts w:ascii="Arial" w:cs="Arial" w:eastAsia="Arial" w:hAnsi="Arial"/>
          <w:sz w:val="17"/>
          <w:szCs w:val="17"/>
          <w:color w:val="auto"/>
        </w:rPr>
      </w:pPr>
    </w:p>
    <w:p>
      <w:pPr>
        <w:ind w:left="980" w:right="300" w:hanging="405"/>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197"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the Company has liquidity (as defined below) of at least $300.0 million and (ii) removing the $200.0 million annual limit on capital expenditures.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 w:name="page16"/>
    <w:bookmarkEnd w:id="15"/>
    <w:p>
      <w:pPr>
        <w:jc w:val="both"/>
        <w:ind w:left="329"/>
        <w:spacing w:after="0" w:line="259" w:lineRule="auto"/>
        <w:rPr>
          <w:sz w:val="20"/>
          <w:szCs w:val="20"/>
          <w:color w:val="auto"/>
        </w:rPr>
      </w:pPr>
      <w:r>
        <w:rPr>
          <w:rFonts w:ascii="Arial" w:cs="Arial" w:eastAsia="Arial" w:hAnsi="Arial"/>
          <w:sz w:val="18"/>
          <w:szCs w:val="18"/>
          <w:color w:val="auto"/>
        </w:rPr>
        <w:t>In addition, VHI is required to comply with a monthly minimum liquidity test (liquidity is defined as unrestricted cash and temporary cash investments of VHI and its restricted subsidiaries and available commitments under the Vail Holdings Credit Agreement revolver) of not less than $150.0 million until the date which VHI delivers a compliance certificate for the Company and its subsidiaries’ first fiscal quarter following the end of the Financial Covenants Temporary Waiver Period.</w:t>
      </w:r>
    </w:p>
    <w:p>
      <w:pPr>
        <w:spacing w:after="0" w:line="214" w:lineRule="exact"/>
        <w:rPr>
          <w:sz w:val="20"/>
          <w:szCs w:val="20"/>
          <w:color w:val="auto"/>
        </w:rPr>
      </w:pPr>
    </w:p>
    <w:p>
      <w:pPr>
        <w:jc w:val="both"/>
        <w:ind w:left="329"/>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has decreased from the floor of 0.75% that was in effect prior to the Fourth Amendment).</w:t>
      </w:r>
    </w:p>
    <w:p>
      <w:pPr>
        <w:spacing w:after="0" w:line="211" w:lineRule="exact"/>
        <w:rPr>
          <w:sz w:val="20"/>
          <w:szCs w:val="20"/>
          <w:color w:val="auto"/>
        </w:rPr>
      </w:pPr>
    </w:p>
    <w:p>
      <w:pPr>
        <w:jc w:val="both"/>
        <w:ind w:left="329"/>
        <w:spacing w:after="0" w:line="286" w:lineRule="auto"/>
        <w:rPr>
          <w:sz w:val="20"/>
          <w:szCs w:val="20"/>
          <w:color w:val="auto"/>
        </w:rPr>
      </w:pPr>
      <w:r>
        <w:rPr>
          <w:rFonts w:ascii="Arial" w:cs="Arial" w:eastAsia="Arial" w:hAnsi="Arial"/>
          <w:sz w:val="16"/>
          <w:szCs w:val="16"/>
          <w:color w:val="auto"/>
        </w:rPr>
        <w:t>As of April 30, 2021, the Vail Holdings Credit Agreement consists of a $500.0 million revolving credit facility and a $1.2 billion outstanding term loan facility. The term loan facility is subject to quarterly amortization of principal of approximately $15.6 million (which began in January 2020),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Borrowings under the Vail Holdings Credit Agreement, including the term loan facility, bear interest annually at LIBOR plus 2.50% as of April 30, 2021 (2.61% for the first $400.0 million of borrowings, and for amounts in excess of $400.0 million for which LIBOR is subject to a floor of 0.25% during the Financial Covenants Temporary Waiver Period, 2.75%). Other than as impacted by the provisions in place during the Financial Covenants Temporary Waiver Period,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(0.4% as of April 30, 2021).</w:t>
      </w:r>
    </w:p>
    <w:p>
      <w:pPr>
        <w:spacing w:after="0" w:line="201" w:lineRule="exact"/>
        <w:rPr>
          <w:sz w:val="20"/>
          <w:szCs w:val="20"/>
          <w:color w:val="auto"/>
        </w:rPr>
      </w:pPr>
    </w:p>
    <w:p>
      <w:pPr>
        <w:jc w:val="both"/>
        <w:ind w:left="329" w:hanging="329"/>
        <w:spacing w:after="0" w:line="25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18, 2020, the Company completed an offering of $575.0 million in aggregate principal amount of 0.0% Convertible Notes due 2026 in a private placement conducted pursuant to Rule 144A of the Securities Act of 1933, as amended. The 0.0% Convertible Notes were issued under an Indenture dated December 18, 2020 (the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214" w:lineRule="exact"/>
        <w:rPr>
          <w:rFonts w:ascii="Arial" w:cs="Arial" w:eastAsia="Arial" w:hAnsi="Arial"/>
          <w:sz w:val="18"/>
          <w:szCs w:val="18"/>
          <w:color w:val="auto"/>
        </w:rPr>
      </w:pPr>
    </w:p>
    <w:p>
      <w:pPr>
        <w:jc w:val="both"/>
        <w:ind w:left="329"/>
        <w:spacing w:after="0" w:line="241" w:lineRule="auto"/>
        <w:rPr>
          <w:rFonts w:ascii="Arial" w:cs="Arial" w:eastAsia="Arial" w:hAnsi="Arial"/>
          <w:sz w:val="18"/>
          <w:szCs w:val="18"/>
          <w:color w:val="auto"/>
        </w:rPr>
      </w:pPr>
      <w:r>
        <w:rPr>
          <w:rFonts w:ascii="Arial" w:cs="Arial" w:eastAsia="Arial" w:hAnsi="Arial"/>
          <w:sz w:val="18"/>
          <w:szCs w:val="18"/>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6.25% Notes.</w:t>
      </w:r>
    </w:p>
    <w:p>
      <w:pPr>
        <w:spacing w:after="0" w:line="216" w:lineRule="exact"/>
        <w:rPr>
          <w:rFonts w:ascii="Arial" w:cs="Arial" w:eastAsia="Arial" w:hAnsi="Arial"/>
          <w:sz w:val="18"/>
          <w:szCs w:val="18"/>
          <w:color w:val="auto"/>
        </w:rPr>
      </w:pPr>
    </w:p>
    <w:p>
      <w:pPr>
        <w:jc w:val="both"/>
        <w:ind w:left="329"/>
        <w:spacing w:after="0" w:line="279" w:lineRule="auto"/>
        <w:rPr>
          <w:rFonts w:ascii="Arial" w:cs="Arial" w:eastAsia="Arial" w:hAnsi="Arial"/>
          <w:sz w:val="18"/>
          <w:szCs w:val="18"/>
          <w:color w:val="auto"/>
        </w:rPr>
      </w:pPr>
      <w:r>
        <w:rPr>
          <w:rFonts w:ascii="Arial" w:cs="Arial" w:eastAsia="Arial" w:hAnsi="Arial"/>
          <w:sz w:val="17"/>
          <w:szCs w:val="17"/>
          <w:color w:val="auto"/>
        </w:rPr>
        <w:t>The initial conversion rate was 2.4560 shares per $1,000 principal amount of notes (the “Conversion Rate”), which represents an initial conversion price of approximately $407.17 per share (the “Conversion Price”), and is subject to adjustment upon the occurrence of certain specified events as described in the Indenture. The principal amount of the 0.0% Convertible Notes is required to be settled in cash. The Company will settle conversions by paying cash, delivering shares of its common stock, or a combination of the two, at its option.</w:t>
      </w:r>
    </w:p>
    <w:p>
      <w:pPr>
        <w:spacing w:after="0" w:line="198" w:lineRule="exact"/>
        <w:rPr>
          <w:rFonts w:ascii="Arial" w:cs="Arial" w:eastAsia="Arial" w:hAnsi="Arial"/>
          <w:sz w:val="18"/>
          <w:szCs w:val="18"/>
          <w:color w:val="auto"/>
        </w:rPr>
      </w:pPr>
    </w:p>
    <w:p>
      <w:pPr>
        <w:ind w:left="329"/>
        <w:spacing w:after="0"/>
        <w:rPr>
          <w:rFonts w:ascii="Arial" w:cs="Arial" w:eastAsia="Arial" w:hAnsi="Arial"/>
          <w:sz w:val="18"/>
          <w:szCs w:val="18"/>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rFonts w:ascii="Arial" w:cs="Arial" w:eastAsia="Arial" w:hAnsi="Arial"/>
          <w:sz w:val="18"/>
          <w:szCs w:val="18"/>
          <w:color w:val="auto"/>
        </w:rPr>
      </w:pPr>
    </w:p>
    <w:p>
      <w:pPr>
        <w:jc w:val="both"/>
        <w:ind w:left="729" w:hanging="405"/>
        <w:spacing w:after="0" w:line="286" w:lineRule="auto"/>
        <w:tabs>
          <w:tab w:leader="none" w:pos="724" w:val="left"/>
        </w:tabs>
        <w:numPr>
          <w:ilvl w:val="1"/>
          <w:numId w:val="8"/>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57" w:lineRule="exact"/>
        <w:rPr>
          <w:rFonts w:ascii="Arial" w:cs="Arial" w:eastAsia="Arial" w:hAnsi="Arial"/>
          <w:sz w:val="17"/>
          <w:szCs w:val="17"/>
          <w:color w:val="auto"/>
        </w:rPr>
      </w:pPr>
    </w:p>
    <w:p>
      <w:pPr>
        <w:jc w:val="both"/>
        <w:ind w:left="729" w:hanging="405"/>
        <w:spacing w:after="0" w:line="259" w:lineRule="auto"/>
        <w:tabs>
          <w:tab w:leader="none" w:pos="7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200" w:lineRule="exact"/>
        <w:rPr>
          <w:sz w:val="20"/>
          <w:szCs w:val="20"/>
          <w:color w:val="auto"/>
        </w:rPr>
      </w:pPr>
    </w:p>
    <w:p>
      <w:pPr>
        <w:spacing w:after="0" w:line="32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6" w:name="page17"/>
    <w:bookmarkEnd w:id="16"/>
    <w:p>
      <w:pPr>
        <w:ind w:left="405" w:hanging="405"/>
        <w:spacing w:after="0"/>
        <w:tabs>
          <w:tab w:leader="none" w:pos="405"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Indenture;</w:t>
      </w:r>
    </w:p>
    <w:p>
      <w:pPr>
        <w:spacing w:after="0" w:line="117" w:lineRule="exact"/>
        <w:rPr>
          <w:rFonts w:ascii="Arial" w:cs="Arial" w:eastAsia="Arial" w:hAnsi="Arial"/>
          <w:sz w:val="18"/>
          <w:szCs w:val="18"/>
          <w:color w:val="auto"/>
        </w:rPr>
      </w:pPr>
    </w:p>
    <w:p>
      <w:pPr>
        <w:ind w:left="405" w:hanging="405"/>
        <w:spacing w:after="0"/>
        <w:tabs>
          <w:tab w:leader="none" w:pos="40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calls the 0.0% Convertible Notes for redemption; or</w:t>
      </w:r>
    </w:p>
    <w:p>
      <w:pPr>
        <w:spacing w:after="0" w:line="117" w:lineRule="exact"/>
        <w:rPr>
          <w:rFonts w:ascii="Arial" w:cs="Arial" w:eastAsia="Arial" w:hAnsi="Arial"/>
          <w:sz w:val="18"/>
          <w:szCs w:val="18"/>
          <w:color w:val="auto"/>
        </w:rPr>
      </w:pPr>
    </w:p>
    <w:p>
      <w:pPr>
        <w:ind w:left="405" w:hanging="405"/>
        <w:spacing w:after="0"/>
        <w:tabs>
          <w:tab w:leader="none" w:pos="40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any time from, and including, July 1, 2025 until the close of business on the scheduled trading day immediately before the maturity date.</w:t>
      </w:r>
    </w:p>
    <w:p>
      <w:pPr>
        <w:spacing w:after="0" w:line="275" w:lineRule="exact"/>
        <w:rPr>
          <w:sz w:val="20"/>
          <w:szCs w:val="20"/>
          <w:color w:val="auto"/>
        </w:rPr>
      </w:pPr>
    </w:p>
    <w:p>
      <w:pPr>
        <w:jc w:val="both"/>
        <w:ind w:left="5"/>
        <w:spacing w:after="0" w:line="290" w:lineRule="auto"/>
        <w:rPr>
          <w:sz w:val="20"/>
          <w:szCs w:val="20"/>
          <w:color w:val="auto"/>
        </w:rPr>
      </w:pPr>
      <w:r>
        <w:rPr>
          <w:rFonts w:ascii="Arial" w:cs="Arial" w:eastAsia="Arial" w:hAnsi="Arial"/>
          <w:sz w:val="16"/>
          <w:szCs w:val="16"/>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92"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In addition, upon the occurrence of a fundamental change (as defined in the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Indenture) occur, the Conversion Rate for the 0.0% Convertible Notes may be increased for a specified period of time.</w:t>
      </w:r>
    </w:p>
    <w:p>
      <w:pPr>
        <w:spacing w:after="0" w:line="215"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The Indenture includes customary events of default, including failure to make payment, failure to comply with the obligations set forth in the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Indenture will consist exclusively of the right of the holders of the 0.0% Convertible Notes to receive additional interest on the notes for up to 360 days following such failure.</w:t>
      </w:r>
    </w:p>
    <w:p>
      <w:pPr>
        <w:spacing w:after="0" w:line="215" w:lineRule="exact"/>
        <w:rPr>
          <w:sz w:val="20"/>
          <w:szCs w:val="20"/>
          <w:color w:val="auto"/>
        </w:rPr>
      </w:pPr>
    </w:p>
    <w:p>
      <w:pPr>
        <w:jc w:val="both"/>
        <w:ind w:left="5"/>
        <w:spacing w:after="0" w:line="269" w:lineRule="auto"/>
        <w:rPr>
          <w:sz w:val="20"/>
          <w:szCs w:val="20"/>
          <w:color w:val="auto"/>
        </w:rPr>
      </w:pPr>
      <w:r>
        <w:rPr>
          <w:rFonts w:ascii="Arial" w:cs="Arial" w:eastAsia="Arial" w:hAnsi="Arial"/>
          <w:sz w:val="17"/>
          <w:szCs w:val="17"/>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 Company’s Consolidated Condensed Balance Sheet. The excess of the principal amount of the 0.0% Convertible Notes over the initial fair value of the liability component represents a debt discount of $109.7 million and will be amortized to interest expense, net over the term. The balance of the unamortized debt discount was $102.2 million as of April 30, 2021.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on the date of issuance, which decreased the recorded value of the equity component. The equity component is recorded within additional paid-in capital on the Company’s Consolidated Condensed Balance Sheet and is not remeasured as long as it continues to meet the conditions for equity classification.</w:t>
      </w:r>
    </w:p>
    <w:p>
      <w:pPr>
        <w:spacing w:after="0" w:line="209" w:lineRule="exact"/>
        <w:rPr>
          <w:sz w:val="20"/>
          <w:szCs w:val="20"/>
          <w:color w:val="auto"/>
        </w:rPr>
      </w:pPr>
    </w:p>
    <w:p>
      <w:pPr>
        <w:jc w:val="both"/>
        <w:ind w:left="5"/>
        <w:spacing w:after="0" w:line="308" w:lineRule="auto"/>
        <w:rPr>
          <w:sz w:val="20"/>
          <w:szCs w:val="20"/>
          <w:color w:val="auto"/>
        </w:rPr>
      </w:pPr>
      <w:r>
        <w:rPr>
          <w:rFonts w:ascii="Arial" w:cs="Arial" w:eastAsia="Arial" w:hAnsi="Arial"/>
          <w:sz w:val="17"/>
          <w:szCs w:val="17"/>
          <w:color w:val="auto"/>
        </w:rPr>
        <w:t>Deferred financing costs related to the 0.0% Convertible Notes of approximately $14.9 million were allocated between the liability and equity components of the 0.0% Convertible Notes based on the proportion of the total proceeds allocated to the debt and equity components.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003" w:right="339" w:bottom="1440" w:gutter="0" w:footer="0" w:header="0"/>
        </w:sectPr>
      </w:pPr>
    </w:p>
    <w:bookmarkStart w:id="17" w:name="page18"/>
    <w:bookmarkEnd w:id="17"/>
    <w:p>
      <w:pPr>
        <w:jc w:val="both"/>
        <w:ind w:left="580" w:hanging="329"/>
        <w:spacing w:after="0" w:line="254" w:lineRule="auto"/>
        <w:tabs>
          <w:tab w:leader="none" w:pos="5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April 30, 2021, all borrowings under the Whistler Credit Agreement were made in Canadian dollars and by way of the issuance of bankers’ acceptances plus 1.75% (approximately 2.21% as of April 30, 2021). The Whistler Credit Agreement also includes a quarterly unused commitment fee based on the Consolidated Total Leverage Ratio, which as of April 30, 2021 is equal to 0.4% per annum.</w:t>
      </w:r>
    </w:p>
    <w:p>
      <w:pPr>
        <w:spacing w:after="0" w:line="218" w:lineRule="exact"/>
        <w:rPr>
          <w:rFonts w:ascii="Arial" w:cs="Arial" w:eastAsia="Arial" w:hAnsi="Arial"/>
          <w:sz w:val="18"/>
          <w:szCs w:val="18"/>
          <w:color w:val="auto"/>
        </w:rPr>
      </w:pPr>
    </w:p>
    <w:p>
      <w:pPr>
        <w:jc w:val="both"/>
        <w:ind w:left="580" w:hanging="329"/>
        <w:spacing w:after="0" w:line="286" w:lineRule="auto"/>
        <w:tabs>
          <w:tab w:leader="none" w:pos="5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6,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sz w:val="20"/>
          <w:szCs w:val="20"/>
          <w:color w:val="auto"/>
        </w:rPr>
      </w:pPr>
    </w:p>
    <w:p>
      <w:pPr>
        <w:ind w:left="1220" w:hanging="416"/>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2021, interest on this note accrued at a rate of 11.38%.</w:t>
      </w:r>
    </w:p>
    <w:p>
      <w:pPr>
        <w:spacing w:after="0" w:line="62" w:lineRule="exact"/>
        <w:rPr>
          <w:sz w:val="20"/>
          <w:szCs w:val="20"/>
          <w:color w:val="auto"/>
        </w:rPr>
      </w:pPr>
    </w:p>
    <w:p>
      <w:pPr>
        <w:ind w:left="1220" w:hanging="440"/>
        <w:spacing w:after="0" w:line="277" w:lineRule="auto"/>
        <w:tabs>
          <w:tab w:leader="none" w:pos="121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April 30, 2021, interest on this note accrued at a rate of 10.91%.</w:t>
      </w:r>
    </w:p>
    <w:p>
      <w:pPr>
        <w:spacing w:after="0" w:line="62" w:lineRule="exact"/>
        <w:rPr>
          <w:rFonts w:ascii="Arial" w:cs="Arial" w:eastAsia="Arial" w:hAnsi="Arial"/>
          <w:sz w:val="18"/>
          <w:szCs w:val="18"/>
          <w:color w:val="auto"/>
        </w:rPr>
      </w:pPr>
    </w:p>
    <w:p>
      <w:pPr>
        <w:ind w:left="1220" w:right="20" w:hanging="490"/>
        <w:spacing w:after="0" w:line="277" w:lineRule="auto"/>
        <w:tabs>
          <w:tab w:leader="none" w:pos="121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on December 1, 2034. As of April 30, 2021, interest on this note accrued at a rate of 10.91%.</w:t>
      </w:r>
    </w:p>
    <w:p>
      <w:pPr>
        <w:spacing w:after="0" w:line="62" w:lineRule="exact"/>
        <w:rPr>
          <w:rFonts w:ascii="Arial" w:cs="Arial" w:eastAsia="Arial" w:hAnsi="Arial"/>
          <w:sz w:val="18"/>
          <w:szCs w:val="18"/>
          <w:color w:val="auto"/>
        </w:rPr>
      </w:pPr>
    </w:p>
    <w:p>
      <w:pPr>
        <w:ind w:left="1220" w:hanging="415"/>
        <w:spacing w:after="0" w:line="277"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2021, interest on this note accrued at a rate of 11.96%.</w:t>
      </w:r>
    </w:p>
    <w:p>
      <w:pPr>
        <w:spacing w:after="0" w:line="62" w:lineRule="exact"/>
        <w:rPr>
          <w:rFonts w:ascii="Arial" w:cs="Arial" w:eastAsia="Arial" w:hAnsi="Arial"/>
          <w:sz w:val="18"/>
          <w:szCs w:val="18"/>
          <w:color w:val="auto"/>
        </w:rPr>
      </w:pPr>
    </w:p>
    <w:p>
      <w:pPr>
        <w:ind w:left="1220" w:right="20" w:hanging="365"/>
        <w:spacing w:after="0" w:line="277"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April 30, 2021, interest on this note accrued at a rate of 8.72%.</w:t>
      </w:r>
    </w:p>
    <w:p>
      <w:pPr>
        <w:spacing w:after="0" w:line="62"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In addition, Peak Resorts is required to maintain a debt service reserve account which amounts are applied to fund interest payments and other amounts due and payable to EPR. As of April 30, 2021 the Company had funded the EPR debt service reserve account in an amount equal to approximately $8.4 million, which was included in other current assets in the Company’s Consolidated Balance Sheet.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2021 reflected by fiscal year (August 1 through July 31)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(May 2021 through July 2021)</w:t>
            </w:r>
          </w:p>
        </w:tc>
        <w:tc>
          <w:tcPr>
            <w:tcW w:w="3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121,345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63,798</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1,594,564</w:t>
            </w:r>
          </w:p>
        </w:tc>
      </w:tr>
      <w:tr>
        <w:trPr>
          <w:trHeight w:val="23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1,098,909</w:t>
            </w:r>
          </w:p>
        </w:tc>
      </w:tr>
      <w:tr>
        <w:trPr>
          <w:trHeight w:val="248"/>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2,958,188</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The Company recorded gross interest expense of $39.0 million and $24.5 million for the three months ended April 30, 2021 and 2020, respectively, of which $1.5 million and $0.3 million, respectively, was amortization of deferred financing costs. The Company recorded gross interest expense of $112.3 million and $73.3 million for the nine months ended April 30, 2021 and 2020, respectively, of which $3.4 million and $1.0 million, respectively, was amortization of deferred financing costs. The Company was in compliance with all of its financial and operating covenants required to be maintained under its debt instruments for all periods presented.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$4.2 million and $9.8 million, respectively, of non-cash foreign currency gains on the intercompany loan to Whistler Blackcomb for the three and nine months ended April 30, 2021 on the Company’s Consolidated Condensed Statements of Operations. The Company recognized approximately $7.8 million and $8.2 million, respectively, of non-cash foreign currency losses on the intercompany loan to Whistler Blackcomb for the three and nine months ended April 30, 2020 on the Company’s Consolidated Condensed Statements of Operations.</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5,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59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427,793</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19,221</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8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(99,275)</w:t>
            </w:r>
          </w:p>
        </w:tc>
      </w:tr>
      <w:tr>
        <w:trPr>
          <w:trHeight w:val="223"/>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334,731</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89" w:lineRule="auto"/>
        <w:rPr>
          <w:sz w:val="20"/>
          <w:szCs w:val="20"/>
          <w:color w:val="auto"/>
        </w:rPr>
      </w:pPr>
      <w:r>
        <w:rPr>
          <w:rFonts w:ascii="Arial" w:cs="Arial" w:eastAsia="Arial" w:hAnsi="Arial"/>
          <w:sz w:val="16"/>
          <w:szCs w:val="16"/>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5, Long-Term Debt). The Company recognized $2.8 million of acquisition related expenses associated with the transaction within Mountain and Lodging operating expense in its Consolidated Condensed Statement of Operations for the nine months ended April 30, 2020. The operating results of Peak Resorts are reported within the Mountain and Lodging segments prospectively from the date of acquisition.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Peak Resorts was completed on August 1, 2019. The following unaudited pro forma financial information includes adjustments for (i) depreciation on acquired property, plant and equipment; (ii) amortization of intangible assets recorded at the date of the transaction; (iii) transaction and business integration related costs; and (iv) interest expense associated with financing the transaction. This unaudited pro forma financial information is presented for informational purposes only and does not purport to be indicative of the results of future operations or the results that would have occurred had the transaction taken place on August 1, 2019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8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12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1,893,154</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253,170</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30,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761,367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750,714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745,275</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1,502,828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1,475,661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1,466,113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1,432,137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1,361,178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1,351,491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330,530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308,267</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335,827</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122,586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104,223</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130,354</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82,375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80,510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81,408</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46,703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81,967</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57,462</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4,278,526</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4,162,520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4,167,930</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(2,161,731)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(1,969,841)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(1,966,127)</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2,116,795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2,192,679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2,201,803</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33"/>
        </w:trPr>
        <w:tc>
          <w:tcPr>
            <w:tcW w:w="6060" w:type="dxa"/>
            <w:vAlign w:val="bottom"/>
          </w:tcPr>
          <w:p>
            <w:pPr>
              <w:spacing w:after="0"/>
              <w:rPr>
                <w:sz w:val="20"/>
                <w:szCs w:val="20"/>
                <w:color w:val="auto"/>
              </w:rPr>
            </w:pPr>
            <w:r>
              <w:rPr>
                <w:rFonts w:ascii="Arial" w:cs="Arial" w:eastAsia="Arial" w:hAnsi="Arial"/>
                <w:sz w:val="18"/>
                <w:szCs w:val="18"/>
                <w:color w:val="auto"/>
                <w:w w:val="91"/>
              </w:rPr>
              <w:t>The composition of accounts payable and accrued liabilities follows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4"/>
        </w:trPr>
        <w:tc>
          <w:tcPr>
            <w:tcW w:w="6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30,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64,412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59,692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238,075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256,402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219,395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69,821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25,588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49,958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43,704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44,536</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35,263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20,070</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27,053</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37,687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36,604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34,996</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72,048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57,048</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45,009</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567,264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499,108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449,274</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47"/>
        </w:trPr>
        <w:tc>
          <w:tcPr>
            <w:tcW w:w="606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1"/>
        </w:trPr>
        <w:tc>
          <w:tcPr>
            <w:tcW w:w="6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2020</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30, 2020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club deferred initiation fee revenue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104,747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105,108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r>
      <w:tr>
        <w:trPr>
          <w:trHeight w:val="23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147,704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165,137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143,964</w:t>
            </w:r>
          </w:p>
        </w:tc>
      </w:tr>
      <w:tr>
        <w:trPr>
          <w:trHeight w:val="248"/>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252,451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270,245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251,464</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nine months ended April 30, 2021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Mountain</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Goodwill, net</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2020</w:t>
            </w:r>
          </w:p>
        </w:tc>
        <w:tc>
          <w:tcPr>
            <w:tcW w:w="1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1,666,809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1,709,020</w:t>
            </w:r>
          </w:p>
        </w:tc>
      </w:tr>
      <w:tr>
        <w:trPr>
          <w:trHeight w:val="22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92,276</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92,276</w:t>
            </w:r>
          </w:p>
        </w:tc>
      </w:tr>
      <w:tr>
        <w:trPr>
          <w:trHeight w:val="248"/>
        </w:trPr>
        <w:tc>
          <w:tcPr>
            <w:tcW w:w="5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April 30, 2021</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1,759,085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42,211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1,801,296</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asset impairments related to its Colorado resort ground transportation company during the three and nine months ended April 30, 2020 of $28.4 million, with corresponding reductions to goodwill, net of $25.7 million and intangible assets, net and property, plant and equipment, net of $2.7 million. The Company’s non-financial assets, such as property, plant and equipment, goodwill and intangible assets, are adjusted when an asset impairment is recognized. These asset impairments encompassed various estimates and assumptions about fair value, which were based predominately on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As a result of the COVID-19 pandemic and the impact it has had on the Company’s operations during the three and nine months ended April 30, 2020, and the expectation at that time of the continuing impact of the pandemic on future operations, the Company determined that the estimated fair value of its Colorado resort ground transportation company reporting unit within its Lodging segment no longer exceeded its carrying value. Additionally, the Company determined that certain long-lived assets of its Colorado resort ground transportation company were not recoverable. As a result, the Company recognized impairments of goodwill and long-lived assets of approximately $25.7 million and $2.7 million, respectively, which were recorded within asset impairments on the Company’s Consolidated Condensed Statements of Operations during the three and nine months ended April 30, 2020. Corresponding reductions were made to goodwill, net of $25.7 million and intangible assets, net and property, plant and equipment, net of $2.7 million.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estimated the fair value of its Colorado resort ground transportation company reporting unit based on an analysis of the present value of future cash flows (an income approach). The significant estimates used in the discounted cash flow model included the Company’s weighted average cost of capital for the reporting unit, projected cash flows and the long-term rate of growth, all of which are significant unobservable (Level 3) inputs. The Company’s assumptions were based on the actual historical performance of the reporting unit, taking into account the recent weakening of operating results and the expected continuation of operating results for transportation services. As a result of this impairment, the Company’s Colorado ground transportation company had no remaining goodwill recorded as of April 30, 2020.</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Estimated Fair Value Measurement as of April 30, 2021</w:t>
            </w:r>
          </w:p>
        </w:tc>
        <w:tc>
          <w:tcPr>
            <w:tcW w:w="1080" w:type="dxa"/>
            <w:vAlign w:val="bottom"/>
            <w:tcBorders>
              <w:bottom w:val="single" w:sz="8" w:color="auto"/>
            </w:tcBorders>
          </w:tcPr>
          <w:p>
            <w:pPr>
              <w:spacing w:after="0"/>
              <w:rPr>
                <w:sz w:val="16"/>
                <w:szCs w:val="16"/>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253,809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253,809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259,111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259,111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12,938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12,938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27,400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Estimated Fair Value Measurement as of July 31, 2020</w:t>
            </w:r>
          </w:p>
        </w:tc>
        <w:tc>
          <w:tcPr>
            <w:tcW w:w="108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203,158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203,158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8,208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8,208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22,510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22,510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17,800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Estimated Fair Value Measurement as of April 30, 2020</w:t>
            </w:r>
          </w:p>
        </w:tc>
        <w:tc>
          <w:tcPr>
            <w:tcW w:w="108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3,054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7,718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7,718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21,013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long-term liabilities and accumulated other comprehensive income (loss) on the Company’s Consolidated Condensed Balance Sheet as of April 30,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2021 and 2020 were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 and 2019, respectively</w:t>
            </w:r>
          </w:p>
        </w:tc>
        <w:tc>
          <w:tcPr>
            <w:tcW w:w="27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17,800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27,200</w:t>
            </w: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74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(2,602)</w:t>
            </w:r>
          </w:p>
        </w:tc>
        <w:tc>
          <w:tcPr>
            <w:tcW w:w="52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94"/>
              </w:rPr>
              <w:t>(6,436)</w:t>
            </w:r>
          </w:p>
        </w:tc>
      </w:tr>
      <w:tr>
        <w:trPr>
          <w:trHeight w:val="230"/>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27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12,202</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(5,264)</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April 30, 2021 and 2020, respectively</w:t>
            </w: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27,400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15,500</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approximately 11.0%,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$3.9 million to $5.3 million.</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nine months ended April 30, 2021, the Company made a payment to the landlord for Contingent Consideration of approximately $2.6 million and recorded an increase of approximately $12.2 million which was primarily associated (i) with the estimated Contingent Consideration payment for the fiscal year ending July 31, 2021 and (ii) changes in market factors primarily associated with an increase in the risk-free interest rate. These changes resulted in an estimated fair value of the Contingent Consideration of approximately $27.4 million, which is reflected in accounts payable and accrued liabilities and other long-term liabilities in the Company’s Consolidated Condensed Balance Sheet.</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$2.1 million and $2.0 million primarily within other long-term liabilities in the accompanying Consolidated Condensed Balance Sheets, as of April 30, 2021, July 31, 2020 and April 30, 2020, respectively, for the estimated present value of future RSRMD capital improvement fees. The Company estimates it will make capital improvement fee payments under this arrangement through the fiscal year ending July 31, 2031.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2021, the Company had various letters of credit outstanding totaling $75.8 million, consisting of $53.4 million to support the Employee Housing Bonds and $22.4 million primarily for workers’ compensation, a wind energy purchase agreement and insurance-related deductibles. The Company also had surety bonds of $14.3 million as of April 30, 2021, primarily to provide collateral for its U.S. workers compensation self-insurance programs.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April 30, 2021, July 31, 2020 and April 30, 2020, the accruals for the above loss contingencies were not material individually or in the aggregate.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other indicators of financial performance or liquidity presented in the Consolidated Condensed Financial Statements, such as net income (loss) or net change in cash and cash equivalents.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54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Lift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577,680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374,818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1,041,546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900,995</w:t>
            </w:r>
          </w:p>
        </w:tc>
      </w:tr>
      <w:tr>
        <w:trPr>
          <w:trHeight w:val="229"/>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80,390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138,824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187,840</w:t>
            </w: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Dining</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45,294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80,172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158,980</w:t>
            </w: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91,286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203,718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259,761</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34,533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101,092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829,183</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1,565,352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1,661,681</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59,095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138,787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220,030</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Resort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888,278</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1,704,139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1,881,711</w:t>
            </w:r>
          </w:p>
        </w:tc>
      </w:tr>
      <w:tr>
        <w:trPr>
          <w:trHeight w:val="229"/>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r>
      <w:tr>
        <w:trPr>
          <w:trHeight w:val="248"/>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889,078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694,087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1,705,508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1,886,495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Segment operating expense: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372,205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917,355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1,068,479</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54,862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149,468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208,545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Resort operating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427,067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1,066,823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1,277,024</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5,088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r>
      <w:tr>
        <w:trPr>
          <w:trHeight w:val="221"/>
        </w:trPr>
        <w:tc>
          <w:tcPr>
            <w:tcW w:w="5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segment operating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429,090</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390,373</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1,071,911</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1,284,950</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Gain on sale of real property</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189</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189</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(loss),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6,177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Reported EBITDA:</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457,989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654,174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594,472</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Lodging</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4,233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462,222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643,493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605,957</w:t>
            </w:r>
          </w:p>
        </w:tc>
      </w:tr>
      <w:tr>
        <w:trPr>
          <w:trHeight w:val="230"/>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r>
      <w:tr>
        <w:trPr>
          <w:trHeight w:val="221"/>
        </w:trPr>
        <w:tc>
          <w:tcPr>
            <w:tcW w:w="54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461,188</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303,624</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639,963</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603,022</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Real estate held for sale and investment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96,259</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96,565</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96,259</w:t>
            </w:r>
          </w:p>
        </w:tc>
        <w:tc>
          <w:tcPr>
            <w:tcW w:w="38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96,565</w:t>
            </w: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Reconciliation from net income attributable to Vail Resorts, Inc. to Total</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274,629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152,546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268,661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252,441</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w:t>
            </w: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277,290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269,399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267,020</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76,897</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66,640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47,190</w:t>
            </w: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354,187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336,039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314,210</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64,071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189,362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186,387</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28,372</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10,400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8,191</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39,033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112,287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73,303</w:t>
            </w:r>
          </w:p>
        </w:tc>
      </w:tr>
      <w:tr>
        <w:trPr>
          <w:trHeight w:val="223"/>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461,188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639,963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603,022</w:t>
            </w: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17"/>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31"/>
              <w:spacing w:after="0"/>
              <w:rPr>
                <w:sz w:val="20"/>
                <w:szCs w:val="20"/>
                <w:color w:val="auto"/>
              </w:rPr>
            </w:pPr>
            <w:r>
              <w:rPr>
                <w:rFonts w:ascii="Arial" w:cs="Arial" w:eastAsia="Arial" w:hAnsi="Arial"/>
                <w:sz w:val="18"/>
                <w:szCs w:val="18"/>
                <w:color w:val="auto"/>
                <w:w w:val="79"/>
              </w:rPr>
              <w:t>25</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and nine months ended April 30, 2021. The Company repurchased 160,800 and 256,418 Vail Shares, respectively (at a total cost of approximately $25.0 million and $46.4 million, respectively), during the three and nine months ended April 30, 2020. Since inception of its share repurchase program through April 30, 2021, the Company has repurchased 6,161,141 Vail Shares for approximately $404.4 million. As of April 30, 2021, 1,338,859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April 30, 2021 (“Form 10-Q”) as “we,” “us,” “our” or the “Company.”</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our Annual Report on Form 10-K for the fiscal year ended July 31, 2020 (“Form 10-K”) and the Consolidated Condensed Financial Statements as of April 30, 2021 and 2020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24, 2020, and Item 1A “Risk Factors” of Part II of this Form 10-Q.</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income (loss) attributable to Vail Resorts, Inc. to Total Reported EBITDA and long-term debt, net to Net Debt.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46445" cy="385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is the sale of lift tickets (including pass products), which represented approximately 70% and 59% of Mountain net revenue for the three months ended April 30, 2021 and 2020, respectively, and approximately 67% and 54% of Mountain net revenue for the nine months ended April 30, 2021 and 2020, respectively. The increase in the portion of our Mountain net revenue that is comprised of lift revenue was due to the disproportionate impacts of COVID-19 on our ancillary lines of revenue.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2020/2021 North American ski season, Destination guests comprised approximately 52% of our North American destination mountain resort skier visits (excluding complimentary access), while Local guests comprised approximately 48% of our North American destination mountain resort skier visits (excluding complimentary access), which compares to 58% and 42%, respectively, for the 2019/2020 North American ski season. Destination guests generally purchase our higher-priced lift tickets (including pass products) and utilize more ancillary services such as ski school, dining and retail/rental, as well as lodging at or around our mountain resorts. The impacts of COVID-19, including travel restrictions, had an adverse impact on Destination visitation, particularly for international guests, as demand for long-distance travel continues to be lower than normal. Additionally,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prior year, we announced the early closure of the 2019/2020 North American ski season for our Resorts, lodging properties and retail stores beginning on March 15, 2020. These actions had a significant adverse impact on our results of operations for the three and nine months ended April 30, 2020. Additionally, on April 27, 2020, we announced that we would offer credits to customers who had purchased 2019/2020 North American pass products and who purchased 2020/2021 North American pass products by September 17, 2020 (the “Credit Offer”).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deferred season pass revenue, as well as approximately $2.9 million of related deferred costs, that would have been recognized in the year ended July 31, 2020 (“Fiscal 2020”) and which was instead primarily recognized in the second and third quarters of the year ending July 31, 2021 (“Fiscal 2021”).</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two tiers of resort access offerings. For the 2021/2022 North American ski season, we reduced prices of our entire portfolio of pass products by 20%. 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primarily based on historical visitation (excluding visitation data for Fiscal 2020 as the data is non-comparable as a result of the early resort closures associated with COVID-19 in March 2020).</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Lift revenue consists of pass product lift revenue (“pass revenue”) and non-pass lift product revenue (“non-pass revenue”). For the 2020/2021 North American ski season and 2019/2020 North American ski season, respectively, approximately 61% and 52%, of our total lift revenue recognized was comprised of pass revenue. The increase in the portion of our total lift revenue that was comprised of pass revenue was primarily due to COVID-19 related limitations on our operations, which also resulted in us restricting the sale of non-pass lift products until December 8, 2020.</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The ongoing impacts of the COVID-19 pandemic resulted in reduced visitation and decreased spending for the 2020/2021 North American ski season compared to the prior year through March 14, 2021, which aligns with the Resort Closure date in the prior year, primarily as a result of declines in visitation from non-pass, lift ticket purchases as well as limitations and restrictions on our operations. These declines were primarily driven by reduced demand for Destination visitation at our western resorts and COVID-19 related capacity limitations, which were further impacted by snowfall levels that were well below average at our Colorado, Utah and Tahoe resorts throughout the holiday season. Visitation and spending was also particularly impacted in regions where heightened COVID-19 restrictions exist, including Whistler Blackcomb, Tahoe and Vermont. Whistler Blackcomb’s results were disproportionately impacted as compared to our broader Mountain segment as a result of the Canadian travel restrictions and border closure, which continues to be closed, and were further impacted by the early closure of our Whistler Blackcomb operations on March 30, 2021 following a provincial health order issued by the government of British Columbia due to an increase in COVID-19 cases in the region. In addition, our Australian ski areas were closed or limited during the three months ended October 31, 2020 as a result of the reemergence of COVID-19 in the region. These actions, trends, and the COVID-19 pandemic in general, had a significant adverse impact on our results of operations for the three and nine months ended April 30, 2021, and we expect them to continue to have an impact for the remainder of Fiscal 2021 and potentially into our fiscal year ending July 31, 2022 (“Fiscal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performance of our lodging properties (including managed condominium rooms) proximate to our mountain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and 93% of Lodging segment net revenue (excluding Lodging segment revenue associated with the reimbursement of payroll costs) for the three months ended April 30, 2021 and 2020, respectively, and 79% and 78% of Lodging segment revenue (excluding Lodging segment revenue associated with reimbursement of payroll costs) for the nine months ended April 30, 2021 and 2020,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peak operating season generally occurs during the months of June to October); mountain resort golf operations and seasonally lower volume from our other owned and managed properties and businesses.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ongoing impacts of the COVID-19 pandemic have resulted in reduced occupancy at our lodging properties during the 2020/2021 North American ski season as compared to the prior year. In addition, we made the decision to close our GTLC facilities including Jackson Lake Lodge and Jenny Lake Lodge during the summer of 2020, as well as to implement restrictions on guided activities and in-restaurant dining and to temporarily close many facilities, which negatively impacted results for the first quarter of Fiscal 2021. These actions, trends, and the COVID-19 pandemic in general, had a significant adverse impact on our results of operations for the three and nine months ended April 30, 2021, and we expect them to continue to have a significant adverse impact for the remainder of Fiscal 2021 and potentially into Fiscal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with those risk factors we have identified in our Form 10-K and in this Form 10-Q, we have identified the following important factors (as well as risks and uncertainties associated with such factors) that could impact our future financial performance or condition:</w:t>
      </w:r>
    </w:p>
    <w:p>
      <w:pPr>
        <w:spacing w:after="0" w:line="184" w:lineRule="exact"/>
        <w:rPr>
          <w:sz w:val="20"/>
          <w:szCs w:val="20"/>
          <w:color w:val="auto"/>
        </w:rPr>
      </w:pPr>
    </w:p>
    <w:p>
      <w:pPr>
        <w:jc w:val="both"/>
        <w:ind w:left="660" w:hanging="328"/>
        <w:spacing w:after="0" w:line="23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2021, we began our early season pass sales program for the 2021/2022 North American ski season, which included a 20% reduction in price for all pass products. Pass product sales through June 1, 2021 for the upcoming 2021/2022 North American ski season increased very significantly as compared to sales through June 2, 2020 for the 2020/2021 North American ski season, due to the lack of any spring sales deadlines in 2020 as a result of COVID-19, making the year over year comparison to the spring 2020 results not relevant for performance trends. Compared to sales for the 2019/2020 North American ski season through June 4, 2019, pass product sales for the 2021/2022 season through June 1, 2021 increased approximately 50% in units and 33% in sales dollars. Pass product sales include Peak Resorts pass sales in both periods and are adjusted to eliminate the impact of foreign currency by applying an exchange rate of $0.83 between the Canadian dollar and U.S. dollar in both periods for Whistler Blackcomb. However, we cannot predict if this favorable trend will continue through the fall 2021 North American pass sales campaign or the overall impact that pass sales will have on lift revenue for the 2021/2022 North American ski season.</w:t>
      </w:r>
    </w:p>
    <w:p>
      <w:pPr>
        <w:spacing w:after="0" w:line="225" w:lineRule="exact"/>
        <w:rPr>
          <w:rFonts w:ascii="Arial" w:cs="Arial" w:eastAsia="Arial" w:hAnsi="Arial"/>
          <w:sz w:val="17"/>
          <w:szCs w:val="17"/>
          <w:color w:val="auto"/>
        </w:rPr>
      </w:pPr>
    </w:p>
    <w:p>
      <w:pPr>
        <w:jc w:val="both"/>
        <w:ind w:left="660" w:hanging="328"/>
        <w:spacing w:after="0" w:line="271"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global outbreak of COVID-19 has led to travel restrictions and other adverse economic impacts including reduced consumer confidence, an increase in unemployment rates and volatility in global and local economies. Although we are uncertain as to the ultimate severity and duration of the COVID-19 pandemic and the impact it may have on our business, we have seen a significant negative change in our performance and expect our future performance will also continue to be negatively impacted. In addition, the North American economy has been and may continue to be impacted by economic challenges in North America or declining or slowing growth in economies outside of North America, accompanied by devaluation of currencies, rising inflation, trade tariffs and lower commodity prices. We cannot predict the ultimate impact of the global economic uncertainty as a result of the COVID-19 pandemic on overall travel and leisure spending or more specifically, on our guest visitation, guest spending or other related trends for the remainder of Fiscal 2021 and potentially into Fiscal 2022.</w:t>
      </w:r>
    </w:p>
    <w:p>
      <w:pPr>
        <w:spacing w:after="0" w:line="205" w:lineRule="exact"/>
        <w:rPr>
          <w:rFonts w:ascii="Arial" w:cs="Arial" w:eastAsia="Arial" w:hAnsi="Arial"/>
          <w:sz w:val="17"/>
          <w:szCs w:val="17"/>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result of the early closure of the 2019/2020 North American ski season, we announced that we would make the Credit Offer to customers who had purchased 2019/2020 North American pass products towards the purchase of a 2020/2021 North American pass product if such purchase was made by September 17, 2020. The Credit Offer discounts ranged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 Credit Offer to 2019/2020 pass product holders, we delayed the recognition of approximately $120.9 million of deferred season pass revenue, as well as approximately $2.9 million of related deferred costs, that would have been recognized in Fiscal 2020. The Credit Offer expired on September 17, 2020, and we recorded $15.4 million as lift revenue during the three months ended October 31, 2020, which was the amount of Credit Offer discounts that were not redeemed. The remaining deferred revenue associated with the Credit offer was recognized as lift revenue primarily during the second and third quarters of Fiscal 2021, as the performance obligations were satisfied.</w:t>
      </w:r>
    </w:p>
    <w:p>
      <w:pPr>
        <w:spacing w:after="0" w:line="212"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address the uncertainty surrounding the 2020/2021 North American season, we introduced Epic Coverage, which is included with the purchase of all North American pass products for no additional charge. Epic Coverage provides refunds in the event of certain resort closures and certain travel restrictions (e.g. for COVID-19), giving pass product holders a refund for any portion of the season that is lost due to qualifying circumstances. Additionally, Epic Coverage provides a refund for qualifying personal circumstances that were historically covered by our pass insurance program for eligible injuries, job losses and many other personal events. The estimated amount of refunds reduces the amount of pass product revenue recognized.</w:t>
      </w:r>
    </w:p>
    <w:p>
      <w:pPr>
        <w:spacing w:after="0" w:line="219"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Additionally, for the 2020/2021 North American ski season, we introduced Epic Mountain Rewards, a program which provides pass product holders a discount of 20% off on-mountain food and beverage, lodging, group ski and ride school lessons, equipment rentals and more at our North American owned and operated Resorts. Epic Mountain Rewards constitutes a material right to pass product holders and as a result, we allocate a portion of the pass product transaction price to these other lines of business.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April 30, 2021, we had $1.3 billion of cash and cash equivalents, as well as $418.6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$81.4 million. Additionally, we have a credit facility which supports the liquidity needs of Whistler Blackcomb (the “Whistler Credit Agreement”). As of April 30, 2021, we had C$249.1 million ($202.7 million) available under the revolver component of the Whistler Credit Agreement (which represents the total commitment of C$300.0 million ($244.1 million) less outstanding borrowings of C$50.0 million ($40.7 million) and a letter of credit outstanding of C$0.9 million ($0.7 million)).</w:t>
      </w:r>
    </w:p>
    <w:p>
      <w:pPr>
        <w:spacing w:after="0" w:line="221"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6"/>
          <w:szCs w:val="16"/>
          <w:color w:val="auto"/>
        </w:rPr>
        <w:t>On December 18, 2020, we entered into the Fourth Amendment to our Vail Holdings Credit Agreement (the “Fourth Amendment”). Pursuant to the Fourth Amendment, among other terms, we are exempt from complying with the Vail Holdings Credit Agreement’s maximum leverage ratio, senior secured leverage ratio, and minimum interest coverage ratio financial maintenance covenants for each of the fiscal quarters ending through January 31, 2022 (unless we make a one-time irrevocable election to terminate such exemption prior to such date) (such period, the “Financial Covenants Temporary Waiver Period”), after which we will again be required to comply with such covenants starting with the fiscal quarter ending April 30, 2022 (or such earlier fiscal quarter as elected by us). During the Financial Covenants Temporary Waiver Period, we are subject to other restrictions which will limit our ability to make future acquisitions, investments, distributions to stockholders, share repurchases or incur additional debt. See Liquidity and Capital Resources for additional information. Additionally, on December 18, 2020, we completed an offering of $575.0 million in aggregate principal amount of 0.0% convertible senior notes due 2026 (the “0.0% Convertible Notes”) in a private placement conducted pursuant to Rule 144A under the Securities Act of 1933, as amended (the “Securities Act”). The 0.0% Convertible Notes are senior, unsecured obligations that do not bear regular interest, and the principal amount of the 0.00% Convertible Notes does not accrete. The notes will mature on January 1, 2026, unless earlier repurchased, redeemed or converted. See Liquidity and Capital Resources for additional information.</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2021, compared to the three and nine months ended April 30,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5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53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274,629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268,661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252,441</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354,187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186,271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336,039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314,210</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457,989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654,174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594,472</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4,233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462,222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643,493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605,957</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Peak Resorts (acquired September 24, 2019), prospectively from the date of acquisition.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outbreak of COVID-19, we announced the early closure of the 2019/2020 North American ski season for our Resorts, lodging properties and retail/rental stores beginning on March 15, 2020. These actions (the “Resort Closures”) had a significant adverse impact on our results of operations for the three and nine months ended April 30, 2020. Additionally, the COVID-19 pandemic continued to have an adverse impact on our results of operations for the three and nine months ended April 30, 2021, as further described below in our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2021 compared to the three months ended April 30,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2021 and 2020 are presented by category as follows (in thousands, except effective ticket price (“ETP”)). ETP is calculated as lift revenue divided by total skier visits for each applicable period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Pr>
          <w:p>
            <w:pPr>
              <w:spacing w:after="0"/>
              <w:rPr>
                <w:sz w:val="14"/>
                <w:szCs w:val="14"/>
                <w:color w:val="auto"/>
              </w:rPr>
            </w:pP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602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Lift</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577,680</w:t>
            </w:r>
          </w:p>
        </w:tc>
        <w:tc>
          <w:tcPr>
            <w:tcW w:w="1040" w:type="dxa"/>
            <w:vAlign w:val="bottom"/>
          </w:tcPr>
          <w:p>
            <w:pPr>
              <w:jc w:val="right"/>
              <w:ind w:right="75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374,818</w:t>
            </w:r>
          </w:p>
        </w:tc>
        <w:tc>
          <w:tcPr>
            <w:tcW w:w="1880" w:type="dxa"/>
            <w:vAlign w:val="bottom"/>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80,390</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45,294</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61,632</w:t>
            </w:r>
          </w:p>
        </w:tc>
        <w:tc>
          <w:tcPr>
            <w:tcW w:w="18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91,286</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34,533</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829,183</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635,304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161,230</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140,839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25,314</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23,476</w:t>
            </w:r>
          </w:p>
        </w:tc>
        <w:tc>
          <w:tcPr>
            <w:tcW w:w="188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38,122</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61,916</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52,252</w:t>
            </w:r>
          </w:p>
        </w:tc>
        <w:tc>
          <w:tcPr>
            <w:tcW w:w="188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85,623</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372,205</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333,785</w:t>
            </w:r>
          </w:p>
        </w:tc>
        <w:tc>
          <w:tcPr>
            <w:tcW w:w="188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(loss), net</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457,989</w:t>
            </w:r>
          </w:p>
        </w:tc>
        <w:tc>
          <w:tcPr>
            <w:tcW w:w="10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301,429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7,188</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5,303</w:t>
            </w:r>
          </w:p>
        </w:tc>
        <w:tc>
          <w:tcPr>
            <w:tcW w:w="1880" w:type="dxa"/>
            <w:vAlign w:val="bottom"/>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80.37</w:t>
            </w:r>
          </w:p>
        </w:tc>
        <w:tc>
          <w:tcPr>
            <w:tcW w:w="10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$5.1 million and $4.4 million of stock-based compensation expense for the three months ended April 30, 2021 and 2020, respectively.</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Mountain Reported EBITDA increased $156.6 million, or 51.9%, primarily as a result of the Company operating for the full U.S. ski season in the current year as compared to the impact of the Resort Closures in the prior year, which resulted in significantly reduced visitation and operations at our North American Resorts and retail stores in the prior year period, as well as the deferral of $120.9 million of pass product revenue from Fiscal 2020 to Fiscal 2021 as a result of the Credit Offer to 2019/2020 North American pass product holders. This increase in Mountain Reported EBITDA was partially offset by limitations and restrictions on our North American winter operations in the current year as a result of the ongoing impacts of COVID-19. Additionally, Whistler Blackcomb’s performance continued to be negatively impacted in the current year due to the continued closure of the Canadian border to international guests and was further impacted by the resort closing earlier than expected on March 30, 2021 following a provincial health order issued by the government of British Columbia. Mountain segment results also include $0.1 million and $1.4 million of acquisition and integration related expenses for the three months ended April 30, 2021 and 2020, respectively, which are recorded within Mountain other operating expense.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$202.9 million, or 54.1%, primarily due to strong North American pass sales growth for the 2020/2021 ski season, including the deferral impact of the Credit Offer to 2019/2020 North American pass product holders from Fiscal 2020 to Fiscal 2021 as a result of the Resort Closures. Pass revenue increased 86.1%, which was primarily driven by the deferral impact of the Credit Offer from Fiscal 2020 to Fiscal 2021 associated with the Resort Closures. Non-pass revenue increased 28.2% primarily due to an increase in non-pass visitation at our Resorts due to the impact of the Resort Closures in the prior year as well as an increase in non-pass ETP of 9.2% in the current year, partially offset by a decrease in Whistler Blackcomb non-pass visitation in the current year as a result of the continued Canadian border closure.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27" w:lineRule="auto"/>
        <w:rPr>
          <w:sz w:val="20"/>
          <w:szCs w:val="20"/>
          <w:color w:val="auto"/>
        </w:rPr>
      </w:pPr>
      <w:r>
        <w:rPr>
          <w:rFonts w:ascii="Arial" w:cs="Arial" w:eastAsia="Arial" w:hAnsi="Arial"/>
          <w:sz w:val="18"/>
          <w:szCs w:val="18"/>
          <w:color w:val="auto"/>
        </w:rPr>
        <w:t>Ski school revenue increased $3.8 million, or 5.0%, and retail/rental revenue increased $13.2 million, or 16.8%, both as a result of the Company operating for the full U.S. ski season in the current year as compared to the impact of the Resort Closures in the prior year, partially offset by COVID-19 related limitations and restrictions in the current year. Dining revenue decreased $16.3 million, or 26.5%, primarily due to capacity-related limitations and restrictions associated with COVID-19 in the current year as a result of the ongoing impacts of COVID-19, which disproportionately impacted our dining outlets. The declines in dining were partially offset by the benefit of operating for the full U.S. ski season in the current year as compared to the impact of the Resort Closures in the prior year.</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decreased $9.6 million, or 21.8%, primarily due to decreased mountain activities and employee housing revenue as a result of reduced visitation and the ongoing impacts of COVID-19 in the current year, as well as a reduction in ski pass insurance revenue as a result of the replacement of our previous ski pass insurance program with Epic Coverage for the 2020/2021 North American ski season, which is free to all pass product holders.</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expense increased $38.4 million, or 11.5%, which was primarily attributable to the Company operating for the full U.S. ski season in the current year as compared to the impact of the Resort Closures in the prior year, partially offset by cost discipline efforts in the current year associated with lower levels of operations and limitations and restrictions on our North American winter operations resulting from COVID-19. Additionally, operating expense includes $0.1 million and $1.4 million of acquisition and integration related expenses for the three months ended April 30, 2021 and 2020,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Labor and labor-related benefits increased 14.5%, primarily due to the impacts of the Resort Closures in the prior year, which included decreased staffing, employee furloughs, salary reductions and reduced variable compensation accruals. Retail cost of sales increased 7.8% compared to an increase in retail sales of 5.2%, reflecting a higher mix of aged retail products sold at reduced margins. Resort related fees increased 21.6% primarily due to increases in revenue on which those fees are based. General and administrative expense increased 18.5%, primarily due to an increase in variable compensation accruals and allocated corporate overhead costs.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Mountain equity investment income (loss), net primarily includes our share of income from the operations of a real estate brokerage company. Mountain equity investment income from the real estate brokerage company increased $1.1 million for the three months ended April 30, 2021 compared to the same period in the prior year due to a significant increase in both the number of real estate sales and the average price of those sales.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Nine months ended April 30, 2021 compared to the nine months ended April 30,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2021 and 2020 are presented by category as follows (in thousands, except ETP):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3"/>
          </w:tcPr>
          <w:p>
            <w:pPr>
              <w:jc w:val="right"/>
              <w:ind w:right="691"/>
              <w:spacing w:after="0"/>
              <w:rPr>
                <w:sz w:val="20"/>
                <w:szCs w:val="20"/>
                <w:color w:val="auto"/>
              </w:rPr>
            </w:pPr>
            <w:r>
              <w:rPr>
                <w:rFonts w:ascii="Arial" w:cs="Arial" w:eastAsia="Arial" w:hAnsi="Arial"/>
                <w:sz w:val="14"/>
                <w:szCs w:val="14"/>
                <w:b w:val="1"/>
                <w:bCs w:val="1"/>
                <w:color w:val="auto"/>
              </w:rPr>
              <w:t>Nine Months Ended April 30,</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5"/>
                <w:szCs w:val="5"/>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1,041,546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900,995</w:t>
            </w:r>
          </w:p>
        </w:tc>
        <w:tc>
          <w:tcPr>
            <w:tcW w:w="188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187,840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80,172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158,980</w:t>
            </w:r>
          </w:p>
        </w:tc>
        <w:tc>
          <w:tcPr>
            <w:tcW w:w="18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203,718</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101,092</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154,105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1,565,352</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1,661,681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371,372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427,538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66,007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88,740</w:t>
            </w:r>
          </w:p>
        </w:tc>
        <w:tc>
          <w:tcPr>
            <w:tcW w:w="188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177,637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194,896</w:t>
            </w:r>
          </w:p>
        </w:tc>
        <w:tc>
          <w:tcPr>
            <w:tcW w:w="18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235,325</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283,130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917,355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1,068,479</w:t>
            </w:r>
          </w:p>
        </w:tc>
        <w:tc>
          <w:tcPr>
            <w:tcW w:w="1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654,174</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594,472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14,191</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13,333</w:t>
            </w:r>
          </w:p>
        </w:tc>
        <w:tc>
          <w:tcPr>
            <w:tcW w:w="188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$15.4 million and $13.4 million of stock-based compensation expense for the nine months ended April 30, 2021 and 2020, respectively.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Mountain Reported EBITDA increased $59.7 million, or 10.0%, primarily due to the impact of the prior year Resort Closures, including the deferral of $120.9 million of pass product revenue from Fiscal 2020 to Fiscal 2021 as a result of the Credit Offer to 2019/2020 North American pass product holders, as well as cost discipline efforts in the current year associated with lower levels of operations. These increases were partially offset by limitations and restrictions on our North American winter operations and at Perisher in the current year due to the impacts of COVID-19, as well as our decision to close Mount Hotham and Falls Creek in July 2020 for the remainder of the Australian ski season. Additionally, Whistler Blackcomb’s performance continued to be negatively impacted in the current year due to the continued closure of the Canadian border to international guests and was further impacted by the resort closing earlier than expected on March 30, 2021 following a provincial health order issued by the government of British Columbia. Mountain segment results also include $0.9 million and $12.3 million of acquisition and integration related expenses for the nine months ended April 30, 2021 and 2020, respectively, which are recorded within Mountain other operating expense. Additionally, operating results from Whistler Blackcomb, which are translated from Canadian dollars to U.S. dollars, were favorably affected by increases in the Canadian dollar exchange rate relative to the U.S. dollar as compared to the prior year, resulting in an increase in Mountain Reported EBITDA of approximately $2.7 million, which the Company calculated by applying current period foreign exchange rates to the prior period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87" w:lineRule="auto"/>
        <w:rPr>
          <w:sz w:val="20"/>
          <w:szCs w:val="20"/>
          <w:color w:val="auto"/>
        </w:rPr>
      </w:pPr>
      <w:r>
        <w:rPr>
          <w:rFonts w:ascii="Arial" w:cs="Arial" w:eastAsia="Arial" w:hAnsi="Arial"/>
          <w:sz w:val="16"/>
          <w:szCs w:val="16"/>
          <w:color w:val="auto"/>
        </w:rPr>
        <w:t>Lift revenue increased $140.6 million, or 15.6%, primarily due to the Company operating for the full U.S. ski season in the current year as compared to the impact of the Resort Closures in the prior year, including the deferral impact of the Credit Offer from Fiscal 2020 to Fiscal 2021, partially offset by limitations and restrictions on our North American winter operations in the current year due to the ongoing impacts of COVID-19, which resulted in a decrease in non-pass visitation. Pass product revenue increased 38.2%, primarily as a result of strong North American pass sales growth for the 2020/2021 ski season, including the deferral impact of the Credit Offer which was recognized primarily during the nine months ended April 30, 2021. Non-pass revenue decreased 8.1% due to reduced non-pass visitation to our Resorts, which was significantly impacted by COVID-19 related capacity limitations and snowfall levels that were well below average at our Colorado, Utah and Tahoe resorts through the holiday season, partially offset by an increase in non-pass ETP of 12.6% in the current year. Visitation was particularly impacted in regions where heightened COVID-19 related restrictions were in place, including Whistler Blackcomb, Tahoe and Vermont. Additionally, Whistler Blackcomb’s results were disproportionately impacted as compared to our broader Mountain segment performance in the current year due to the continued closure of the Canadian border to international guests, and was further impacted by the resort closing earlier than expected on March 30, 2021 following a provincial health order issued by the government of British Columbia.</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Ski school revenue decreased $49.0 million, or 26.1%, dining revenue decreased $78.8 million, or 49.6%, and retail/rental revenue decreased $56.0 million, or 21.6%, each primarily due to the ongoing limitations and restrictions on our North American operations in the current year as a result of the impacts of COVID-19 on our business.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revenue mainly consists of summer visitation and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resort lodging and transportation revenue. Other revenue decreased $53.0 million, or 34.4%, primarily due to decreased mountain activities, mountain services, employee housing and Australian lodging and transportation revenue as a result of limitations and restrictions on our business in the current year due to COVID-19, as well as a reduction in ski pass insurance revenue as a result of the replacement of our previous ski pass insurance program with Epic Coverage for the 2020/2021 North American ski season, which is free to all pass product holders.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 decreased $151.1 million, or 14.1%, which was primarily attributable to cost discipline efforts in the current year associated with lower levels of operations and limitations, restrictions and closures of Resort operations resulting from COVID-19. Additionally, operating expense includes $0.9 million and $12.3 million of acquisition and integration related expenses for the nine months ended April 30, 2021 and 2020, respectively.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Labor and labor-related benefits decreased 13.1%, primarily due to cost discipline efforts in the current year associated with limitations, restrictions and closures of our Resort operations as a result of COVID-19, as well as incremental tax credits of approximately $12.2 million associated with COVID-19 related legislation passed in Canada, Australia and the United States, partially offset by an increase in variable compensation accruals. Retail cost of sales decreased 25.6% compared to a decrease in retail sales of 30.5%, reflecting a higher mix of aged retail products sold at reduced margins. Resort related fees decreased 9.7% primarily due to decreases in revenue on which those fees are based. General and administrative expense decreased 8.9%, primarily due to a decrease in allocated corporate overhead costs, as well as incremental tax credits of approximately $4.5 million associated with COVID-19 related legislation passed in Canada, Australia and the United States, partially offset by an increase in variable compensation accruals. Other expense decreased 16.9% primarily due to decreases in variable operating expenses associated with reduced revenues, as well as a decrease in acquisition and integration related expenses of $11.4 million.</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Mountain equity investment income, net primarily includes our share of income from the operations of a real estate brokerage company. Mountain equity investment income from the real estate brokerage company increased $4.9 million (386.4%) for the nine months ended April 30, 2021 compared to the same period in the prior year due to a significant increase in both the number of real estate sales and the average price of those sales.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2021 compared to the three months ended April 30, 2020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April 30, 2021 and 2020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line="20" w:lineRule="exact"/>
              <w:rPr>
                <w:sz w:val="1"/>
                <w:szCs w:val="1"/>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10,252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8,126</w:t>
            </w:r>
          </w:p>
        </w:tc>
        <w:tc>
          <w:tcPr>
            <w:tcW w:w="1880" w:type="dxa"/>
            <w:vAlign w:val="bottom"/>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28,726</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4,849</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8,099</w:t>
            </w:r>
          </w:p>
        </w:tc>
        <w:tc>
          <w:tcPr>
            <w:tcW w:w="18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4,663</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8,652</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57,142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59,095</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26,809</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11,378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8,566</w:t>
            </w:r>
          </w:p>
        </w:tc>
        <w:tc>
          <w:tcPr>
            <w:tcW w:w="1880" w:type="dxa"/>
            <w:vAlign w:val="bottom"/>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14,722</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52,491</w:t>
            </w:r>
          </w:p>
        </w:tc>
        <w:tc>
          <w:tcPr>
            <w:tcW w:w="18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1,953</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54,862</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274.15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341.75</w:t>
            </w: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147.67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403.96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141.39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108.08</w:t>
            </w:r>
          </w:p>
        </w:tc>
        <w:tc>
          <w:tcPr>
            <w:tcW w:w="1880" w:type="dxa"/>
            <w:vAlign w:val="bottom"/>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374.39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392.88</w:t>
            </w: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142.40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67" w:lineRule="auto"/>
        <w:tabs>
          <w:tab w:leader="none" w:pos="182"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RevPAR for the three months ended April 30, 2021 increased from the prior comparative period primarily due to the impact of the Resort Closures in the prior year.</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Lodging Reported EBITDA includes $1.0 million and $0.8 million of stock-based compensation expense for the three months ended April 30, 2021 and 2020, respectively. Lodging Reported EBITDA increased $1.3 million, primarily as a result of the Company operating for the full U.S. ski season in the current year as compared to the impact of the Resort Closures in the prior year, partially offset by capacity-related restrictions and limitations in the current year as a result of the ongoing impacts of COVID-19.</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from owned hotel rooms increased $2.1 million, or 26.2%, and revenue from managed condominium rooms increased $5.0 million, or 21.0%, both primarily as a result of increased occupancy in the current year due to the Company operating for the full U.S. ski season in the current year as compared to the impact of the Resort Closures in the prior year, partially offset by capacity-related restrictions and limitations in the current year as a result of the ongoing impacts of COVID-19. Revenue from dining, transportation and other revenue each decreased primarily as a result of the capacity-related restrictions due to the COVID-19 pandemic in the current year, partially offset by the impact of the Resort Closures in the prior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Operating expense (excluding reimbursed payroll costs) increased 0.8%. General and administrative expense increased 32.8% primarily due to higher allocated corporate overhead costs including an increase in variable compensation accruals, primarily due to the impact of the Resort Closures in the prior year. Other expense decreased 15.8%, primarily related to lower cost of sales associated with lower dining and retail revenue, as well as lower advertising and commissions expense.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2021 compared to the nine months ended April 30,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2021 and 2020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Nine Months Ended April 30,</w:t>
            </w:r>
          </w:p>
        </w:tc>
        <w:tc>
          <w:tcPr>
            <w:tcW w:w="190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line="20" w:lineRule="exact"/>
              <w:rPr>
                <w:sz w:val="1"/>
                <w:szCs w:val="1"/>
                <w:color w:val="auto"/>
              </w:rPr>
            </w:pPr>
          </w:p>
        </w:tc>
        <w:tc>
          <w:tcPr>
            <w:tcW w:w="12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24,325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39,323</w:t>
            </w:r>
          </w:p>
        </w:tc>
        <w:tc>
          <w:tcPr>
            <w:tcW w:w="190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58,391</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Dining</w:t>
            </w: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8,807</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37,353</w:t>
            </w:r>
          </w:p>
        </w:tc>
        <w:tc>
          <w:tcPr>
            <w:tcW w:w="190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7,610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Golf</w:t>
            </w: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8,646</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10,606</w:t>
            </w:r>
          </w:p>
        </w:tc>
        <w:tc>
          <w:tcPr>
            <w:tcW w:w="19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25,834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133,613</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210,425</w:t>
            </w:r>
          </w:p>
        </w:tc>
        <w:tc>
          <w:tcPr>
            <w:tcW w:w="190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Payroll cost reimbursements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5,174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138,787</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220,030</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Labor and labor-related benefits</w:t>
            </w:r>
          </w:p>
        </w:tc>
        <w:tc>
          <w:tcPr>
            <w:tcW w:w="4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69,953</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97,992</w:t>
            </w:r>
          </w:p>
        </w:tc>
        <w:tc>
          <w:tcPr>
            <w:tcW w:w="19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32,807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41,534</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68,669</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144,294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198,940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Reimbursed payroll costs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5,174</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149,468</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255.25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RevPAR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92.27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141.20</w:t>
            </w:r>
          </w:p>
        </w:tc>
        <w:tc>
          <w:tcPr>
            <w:tcW w:w="19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ADR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374.72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334.32</w:t>
            </w:r>
          </w:p>
        </w:tc>
        <w:tc>
          <w:tcPr>
            <w:tcW w:w="190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344.66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RevPAR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86.65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109.58</w:t>
            </w:r>
          </w:p>
        </w:tc>
        <w:tc>
          <w:tcPr>
            <w:tcW w:w="19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firstLine="8"/>
        <w:spacing w:after="0" w:line="267" w:lineRule="auto"/>
        <w:tabs>
          <w:tab w:leader="none" w:pos="186"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RevPAR for the nine months ended April 30, 2021 declined from the prior comparative period primarily due to limitations and restrictions on our North American operations in the current year resulting from COVID-19, partially offset by the impact of the Resort Closures in the prior year.</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includes $2.9 million and $2.6 million of stock-based compensation expense for the nine months ended April 30, 2021 and 2020, respectively. Lodging Reported EBITDA decreased $22.2 million, or 193.0%, primarily as a result of limitations and restrictions on our North American operations in the current year as a result of the impacts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COVID-19, which resulted in reduced occupancy and capacity-related restrictions at our lodging properties compared to the prior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owned hotel rooms, managed condominium rooms, dining, transportation, golf and other revenue each decreased primarily as a result of the impacts of COVID-19.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(excluding reimbursed payroll costs) decreased 27.5%. Labor and labor related benefits decreased 28.6%, primarily due to decreased staffing associated with COVID-19. Other expense decreased 39.5%, primarily related to lower variable expenses associated with reduced revenues as a result of the COVID-19 pandemic.</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2021 compared to the three months ended April 30,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2021 and 2020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Pr>
          <w:p>
            <w:pPr>
              <w:spacing w:after="0"/>
              <w:rPr>
                <w:sz w:val="14"/>
                <w:szCs w:val="14"/>
                <w:color w:val="auto"/>
              </w:rPr>
            </w:pPr>
          </w:p>
        </w:tc>
        <w:tc>
          <w:tcPr>
            <w:tcW w:w="1900" w:type="dxa"/>
            <w:vAlign w:val="bottom"/>
          </w:tcPr>
          <w:p>
            <w:pPr>
              <w:jc w:val="center"/>
              <w:ind w:left="3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6"/>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5"/>
                <w:szCs w:val="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10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1,479</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(1,034)</w:t>
            </w:r>
          </w:p>
        </w:tc>
        <w:tc>
          <w:tcPr>
            <w:tcW w:w="11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for both the three months ended April 30, 2021 and 2020 was primarily comprised of general and administrative costs, such as labor and labor-related benefits, professional services and allocated corporate overhead costs.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2021 compared to the nine months ended April 30,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nine months ended April 30, 2021 and 2020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Nine Months Ended April 30,</w:t>
            </w:r>
          </w:p>
        </w:tc>
        <w:tc>
          <w:tcPr>
            <w:tcW w:w="600" w:type="dxa"/>
            <w:vAlign w:val="bottom"/>
          </w:tcPr>
          <w:p>
            <w:pPr>
              <w:spacing w:after="0"/>
              <w:rPr>
                <w:sz w:val="14"/>
                <w:szCs w:val="14"/>
                <w:color w:val="auto"/>
              </w:rPr>
            </w:pPr>
          </w:p>
        </w:tc>
        <w:tc>
          <w:tcPr>
            <w:tcW w:w="1900" w:type="dxa"/>
            <w:vAlign w:val="bottom"/>
          </w:tcPr>
          <w:p>
            <w:pPr>
              <w:jc w:val="center"/>
              <w:ind w:left="3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6"/>
              <w:spacing w:after="0" w:line="135"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1,369</w:t>
            </w:r>
          </w:p>
        </w:tc>
        <w:tc>
          <w:tcPr>
            <w:tcW w:w="106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4,130</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5,088</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(3,530)</w:t>
            </w:r>
          </w:p>
        </w:tc>
        <w:tc>
          <w:tcPr>
            <w:tcW w:w="10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Nine months ended April 30,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$4.1 million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2020</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April 30, 2020, we closed on the sale of a development land parcel for $4.1 million which was recorded within Real Estate net revenue, with a corresponding cost of sale (including sales commission) of $3.9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$4.0 million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material items contributed to our overall financial results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 April 30,</w:t>
            </w:r>
          </w:p>
        </w:tc>
        <w:tc>
          <w:tcPr>
            <w:tcW w:w="13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Nine Months Ended April 30,</w:t>
            </w:r>
          </w:p>
        </w:tc>
        <w:tc>
          <w:tcPr>
            <w:tcW w:w="12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7"/>
        </w:trPr>
        <w:tc>
          <w:tcPr>
            <w:tcW w:w="3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5"/>
                <w:szCs w:val="5"/>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3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5"/>
                <w:szCs w:val="5"/>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(64,071)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(64,730)</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(189,362)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(186,387)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(28,372)</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(28,372)</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 in estimated fair value of</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(10,400)</w:t>
            </w:r>
          </w:p>
        </w:tc>
        <w:tc>
          <w:tcPr>
            <w:tcW w:w="3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8,000</w:t>
            </w:r>
          </w:p>
        </w:tc>
        <w:tc>
          <w:tcPr>
            <w:tcW w:w="13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(230.0)%</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(12,202)</w:t>
            </w:r>
          </w:p>
        </w:tc>
        <w:tc>
          <w:tcPr>
            <w:tcW w:w="3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5,264</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gain (loss) 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74"/>
              <w:spacing w:after="0"/>
              <w:rPr>
                <w:sz w:val="20"/>
                <w:szCs w:val="20"/>
                <w:color w:val="auto"/>
              </w:rPr>
            </w:pPr>
            <w:r>
              <w:rPr>
                <w:rFonts w:ascii="Arial" w:cs="Arial" w:eastAsia="Arial" w:hAnsi="Arial"/>
                <w:sz w:val="18"/>
                <w:szCs w:val="18"/>
                <w:color w:val="auto"/>
              </w:rPr>
              <w:t>4,157</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2"/>
              <w:spacing w:after="0"/>
              <w:rPr>
                <w:sz w:val="20"/>
                <w:szCs w:val="20"/>
                <w:color w:val="auto"/>
              </w:rPr>
            </w:pPr>
            <w:r>
              <w:rPr>
                <w:rFonts w:ascii="Arial" w:cs="Arial" w:eastAsia="Arial" w:hAnsi="Arial"/>
                <w:sz w:val="18"/>
                <w:szCs w:val="18"/>
                <w:color w:val="auto"/>
              </w:rPr>
              <w:t>(7,753)</w:t>
            </w:r>
          </w:p>
        </w:tc>
        <w:tc>
          <w:tcPr>
            <w:tcW w:w="1340" w:type="dxa"/>
            <w:vAlign w:val="bottom"/>
            <w:vMerge w:val="restart"/>
          </w:tcPr>
          <w:p>
            <w:pPr>
              <w:jc w:val="right"/>
              <w:ind w:right="34"/>
              <w:spacing w:after="0"/>
              <w:rPr>
                <w:sz w:val="20"/>
                <w:szCs w:val="20"/>
                <w:color w:val="auto"/>
              </w:rPr>
            </w:pPr>
            <w:r>
              <w:rPr>
                <w:rFonts w:ascii="Arial" w:cs="Arial" w:eastAsia="Arial" w:hAnsi="Arial"/>
                <w:sz w:val="18"/>
                <w:szCs w:val="18"/>
                <w:color w:val="auto"/>
              </w:rPr>
              <w:t>153.6 %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94"/>
              <w:spacing w:after="0"/>
              <w:rPr>
                <w:sz w:val="20"/>
                <w:szCs w:val="20"/>
                <w:color w:val="auto"/>
              </w:rPr>
            </w:pPr>
            <w:r>
              <w:rPr>
                <w:rFonts w:ascii="Arial" w:cs="Arial" w:eastAsia="Arial" w:hAnsi="Arial"/>
                <w:sz w:val="18"/>
                <w:szCs w:val="18"/>
                <w:color w:val="auto"/>
              </w:rPr>
              <w:t>9,832</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92"/>
              <w:spacing w:after="0"/>
              <w:rPr>
                <w:sz w:val="20"/>
                <w:szCs w:val="20"/>
                <w:color w:val="auto"/>
              </w:rPr>
            </w:pPr>
            <w:r>
              <w:rPr>
                <w:rFonts w:ascii="Arial" w:cs="Arial" w:eastAsia="Arial" w:hAnsi="Arial"/>
                <w:sz w:val="18"/>
                <w:szCs w:val="18"/>
                <w:color w:val="auto"/>
              </w:rPr>
              <w:t>(8,191)</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220.0 %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intercompany loans</w:t>
            </w:r>
          </w:p>
        </w:tc>
        <w:tc>
          <w:tcPr>
            <w:tcW w:w="2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(39,033)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(24,479)</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59.5 %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(112,287)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(73,303)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(76,897)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(26,440)</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190.8 %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(66,640)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(47,190)</w:t>
            </w:r>
          </w:p>
        </w:tc>
        <w:tc>
          <w:tcPr>
            <w:tcW w:w="1240" w:type="dxa"/>
            <w:vAlign w:val="bottom"/>
          </w:tcPr>
          <w:p>
            <w:pPr>
              <w:jc w:val="right"/>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pts</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nine months ended April 30, 2021 increased $3.0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incremental depreciation and amortization expense associated with assets acquired in the Peak Resorts acquisition.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We recorded an asset impairment of approximately $28.4 million during the three and nine months ended April 30,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effects of COVID-19 on our Colorado resort ground transportation company, with corresponding reductions to goodwill, net of $25.7 million and intangible assets, net and property, plant and equipment, net of $2.7 million. See Notes to the Consolidated Condensed Financial Statements for additional information.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estimated fair value of contingent consideration. </w:t>
      </w:r>
      <w:r>
        <w:rPr>
          <w:rFonts w:ascii="Arial" w:cs="Arial" w:eastAsia="Arial" w:hAnsi="Arial"/>
          <w:sz w:val="18"/>
          <w:szCs w:val="18"/>
          <w:color w:val="auto"/>
        </w:rPr>
        <w:t>We recorded losses of $10.4 million and $12.2 million, respectively,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2021, primarily related to an increase in the estimated contingent consideration payment for Fiscal 2021 as a result of stronger than expected results for Park City. We recorded gains of $8.0 million and $5.3 million, respectively, for the three and nine months ended April 30, 2020, primarily related to a decrease in the estimated contingent consideration payments for Fiscal 2020 and Fiscal 2021 as a result of a decrease in expected results due to the anticipated impacts of COVID-19.</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gain (loss) on intercompany loans. </w:t>
      </w:r>
      <w:r>
        <w:rPr>
          <w:rFonts w:ascii="Arial" w:cs="Arial" w:eastAsia="Arial" w:hAnsi="Arial"/>
          <w:sz w:val="18"/>
          <w:szCs w:val="18"/>
          <w:color w:val="auto"/>
        </w:rPr>
        <w:t>Foreign currency gain (loss) on intercompany loans for the three and nine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increased $11.9 million and $18.0 million, respectively, as a result of the Canadian dollar increasing relative to the U.S. dollar compared to the same respective periods in the prior year, and was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Interest expense, net for the three and nine months ended April 30, 2021 increased $14.6 million and $39.0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the prior year, primarily due to borrowings under the 6.25% Notes, which were issued in May 2020, and non-cash interest expense associated with amortization of the debt discount for the 0.0% Convertible Notes, which were issued in December 2020.</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0" w:name="page41"/>
    <w:bookmarkEnd w:id="40"/>
    <w:p>
      <w:pPr>
        <w:jc w:val="both"/>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At the end of each interim period, the Company estimates the annual effective tax rate and applies that rate to its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provision for the three and nine months ended April 30, 2021 was 21.7% and 19.8%, respectively, compared to 14.2% and 15.0%, respectively, for the three and nine months ended April 30, 2020.</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the effective tax rate for three and nine months ended April 30, 2021 compared to the three and nine months ended April 30, 2020 was primarily due to the lesser tax impact of permanent items based on the higher estimated pre-tax book income for the full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the three and nine months ended April 30, 2021 and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58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53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274,629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268,661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252,441</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738</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14,579</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277,290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269,399</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267,020</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76,897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66,640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47,190</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354,187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336,039</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314,210</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64,071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189,362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186,387</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762</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10,400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12,202</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Investment income and other,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39,033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112,287</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73,303</w:t>
            </w: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Reported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461,188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303,624</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639,963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603,022</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457,989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654,174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594,472</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4,233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462,222</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643,493</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605,957</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Reported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461,188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303,624</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639,963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603,022</w:t>
            </w:r>
          </w:p>
        </w:tc>
      </w:tr>
      <w:tr>
        <w:trPr>
          <w:trHeight w:val="20"/>
        </w:trPr>
        <w:tc>
          <w:tcPr>
            <w:tcW w:w="5720" w:type="dxa"/>
            <w:vAlign w:val="bottom"/>
            <w:tcBorders>
              <w:top w:val="single" w:sz="8" w:color="CCEEFF"/>
              <w:bottom w:val="single" w:sz="8" w:color="auto"/>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5720" w:type="dxa"/>
            <w:vAlign w:val="bottom"/>
            <w:gridSpan w:val="2"/>
          </w:tcPr>
          <w:p>
            <w:pPr>
              <w:spacing w:after="0"/>
              <w:rPr>
                <w:sz w:val="20"/>
                <w:szCs w:val="20"/>
                <w:color w:val="auto"/>
              </w:rPr>
            </w:pPr>
            <w:r>
              <w:rPr>
                <w:rFonts w:ascii="Arial" w:cs="Arial" w:eastAsia="Arial" w:hAnsi="Arial"/>
                <w:sz w:val="18"/>
                <w:szCs w:val="18"/>
                <w:color w:val="auto"/>
                <w:w w:val="93"/>
              </w:rPr>
              <w:t>The following table reconciles long-term debt, net to Net Debt (in thousands):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5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April 30</w:t>
            </w:r>
          </w:p>
        </w:tc>
        <w:tc>
          <w:tcPr>
            <w:tcW w:w="1020" w:type="dxa"/>
            <w:vAlign w:val="bottom"/>
            <w:tcBorders>
              <w:bottom w:val="single" w:sz="8" w:color="auto"/>
            </w:tcBorders>
          </w:tcPr>
          <w:p>
            <w:pPr>
              <w:spacing w:after="0"/>
              <w:rPr>
                <w:sz w:val="24"/>
                <w:szCs w:val="24"/>
                <w:color w:val="auto"/>
              </w:rPr>
            </w:pPr>
          </w:p>
        </w:tc>
      </w:tr>
      <w:tr>
        <w:trPr>
          <w:trHeight w:val="187"/>
        </w:trPr>
        <w:tc>
          <w:tcPr>
            <w:tcW w:w="5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2,739,981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2,365,372</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113,454</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63,566</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2,853,435</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2,428,938</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1,344,702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482,656</w:t>
            </w: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1,508,733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1,946,282</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nine months ended April 30, 2021 and 2020 are presented by categories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Nine Months Ended April 30,</w:t>
            </w:r>
          </w:p>
        </w:tc>
      </w:tr>
      <w:tr>
        <w:trPr>
          <w:trHeight w:val="187"/>
        </w:trPr>
        <w:tc>
          <w:tcPr>
            <w:tcW w:w="8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551,137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9"/>
              </w:rPr>
              <w:t>466,979</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420"/>
              <w:spacing w:after="0"/>
              <w:rPr>
                <w:sz w:val="20"/>
                <w:szCs w:val="20"/>
                <w:color w:val="auto"/>
              </w:rPr>
            </w:pPr>
            <w:r>
              <w:rPr>
                <w:rFonts w:ascii="Arial" w:cs="Arial" w:eastAsia="Arial" w:hAnsi="Arial"/>
                <w:sz w:val="18"/>
                <w:szCs w:val="18"/>
                <w:color w:val="auto"/>
              </w:rPr>
              <w:t>(75,016)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235"/>
              <w:spacing w:after="0"/>
              <w:rPr>
                <w:sz w:val="20"/>
                <w:szCs w:val="20"/>
                <w:color w:val="auto"/>
              </w:rPr>
            </w:pPr>
            <w:r>
              <w:rPr>
                <w:rFonts w:ascii="Arial" w:cs="Arial" w:eastAsia="Arial" w:hAnsi="Arial"/>
                <w:sz w:val="18"/>
                <w:szCs w:val="18"/>
                <w:color w:val="auto"/>
                <w:w w:val="93"/>
              </w:rPr>
              <w:t>(466,478)</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474,316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9"/>
              </w:rPr>
              <w:t>371,374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2021 compared to the nine months ended April 30, 2020</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generated $551.1 million of cash from operating activities during the nine months ended April 30, 2021, an increase of $84.2 million compared to $467.0 million of cash generated during the nine months ended April 30, 2020. The increase in operating cash flows was primarily a result of (i) an increase in accounts payable and accrued liabilities (excluding accounts payable and accrued liabilities assumed through acquisitions) primarily associated with a larger increase in accrued trade payables, salaries and wages as of April 30, 2021 as compared to the beginning of the fiscal year relative to the increase in the prior year period, which was due to the impact of the Resort Closures in the prior year; (ii) increased Mountain and Lodging segment operating results for the nine months ended April 30, 2021 as compared to the nine months ended April 30, 2020, which includes the deferral impact of the Credit Offer from Fiscal 2020 to Fiscal 2021 as a result of the Resort Closures in the prior year; and (iii) a decrease in estimated income tax payments of $16.6 million. These increases were partially offset by an increase in cash interest payments of $18.0 million in the nine months ended April 30, 2021 as compared to the prior year, primarily due to incremental cash interest payments on the 6.25% Notes issued in May 2020, for which the first interest payment was made on November 15, 2020.</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used in investing activities for the nine months ended April 30, 2021 decreased by $391.5 million primarily due to cash payments of $327.6 million, net of cash acquired, related to the acquisition of Peak Resorts during the nine months ended April 30, 2020. Additionally, capital expenditures decreased by $60.2 million primarily as a result of the deferral of discretionary capital projects related to the Company’s decision to prioritize near-term liquidity.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financing activities increased by $102.9 million during the nine months ended April 30, 2021 compared to the nine months ended April 30, 2020, primarily due to (i) proceeds of $575.0 million from the issuance of our 0.0% Convertible Notes during the nine months ended April 30, 2021; (ii) a decrease in dividends paid of $212.7 million; and (iii) a decrease in repurchases of common stock of $46.4 million. These increases were partially offset by (i) a decrease in proceeds from incremental borrowings under the term loan portion of our Vail Holdings Credit Agreement of $335.6 million during the nine months ended April 30, 2020, which was used to fund the Peak Resorts acquisition; (ii) an increase in net payments under the revolver portion of our Vail Holdings Credit Agreement of $192.0 million; (iii) an increase in net payments under the revolver component of our Whistler Credit Agreement of $186.2 million; (iv) an increase in quarterly payments on the term loan portion of our Vail Holdings Credit Agreement of $15.6 million; and (v) an increase in financing costs primarily associated with the issuance of the 0.0% Convertible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$1,344.7 million of cash and cash equivalents as of April 30, 2021, compared to $482.7 million as of April 30, 2020. The increase was primarily associated with the issuances of our $600.0 million 6.25% Notes in May 2020 and our $575.0 million 0.0% Convertible Notes in December 2020.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7"/>
          <w:szCs w:val="17"/>
          <w:color w:val="auto"/>
        </w:rPr>
        <w:t>In addition to our $1,344.7 million of cash and cash equivalents at April 30, 2021, we had $418.6 million available under the revolver component of our Vail Holdings Credit Agreement as of April 30, 2021 (which represents the total commitment of $500.0 million less certain letters of credit outstanding of $81.4 million). Additionally, we had C$249.1 million ($202.7 million) available under the revolver component of our Whistler Credit Agreement (which represents the total commitment of C$300.0 million ($244.1 million) less outstanding borrowings of C$50.0 million ($40.7 million) and a letter of credit outstanding of C$0.9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LIBOR plus 2.5% and Bankers Acceptance Rate plus 2.0%,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currently anticipate we will spend approximately $115 million to $120 million on resort capital expenditures during calendar year 2021, excluding one-time items associated with integrations of $5 million and $12 million of reimbursable investments, as well as real estate related capital. Including these one-time items, we expect that our total capital plan will be approximately $135 million to $140 million. Included in these estimated capital expenditures are approximately $75 million to $80 million of maintenance capital expenditures, which are necessary to maintain appearance and level of service appropriate to our resort operations. Discretionary expenditures expected for calendar year 2021 include, among other projects, several investments which were previously deferred from calendar year 2020 as a result of COVID-19 and are subject to regulatory approvals, including the 250-acre lift-served terrain expansion in the McCoy Park area of Beaver Creek; a new four-person high speed lift to serve Peak 7 at Breckenridge; replacing the Peru lift at Keystone with a six-person high speed chairlift; replacing the Peachtree lift at Crested Butte with a new three-person fixed-grip lift; and an upgrade of the four-person Quantum lift at Okemo with a six-person high speed chairlift, relocating the existing four-person Quantum lift to replace the Green Ridge three-person fixed-grip chairlift. We will also continue to invest in company-wide technology enhancements to support our data driven approach, guest experience and corporate infrastructure which improve our scalability and efficiency as we work to optimize our processes, business analytics and cost discipline across the network, as well as upgrades to the infrastructure of our guest contact centers. We currently plan to utilize cash on hand, borrowings available under our credit agreements and/or cash flow generated from future operations to provide the cash necessary to complete our capital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April 30, 2021, principal payments on the majority of our long-term debt ($2.7 billion of the total $3.0 billion debt outstanding as of April 30, 2021) are not due until fiscal year 2025 and beyond. As of April 30, 2021 and 2020, total long-term debt, net (including long-term debt due within one year) was $2,853.4 million and $2,428.9 million, respectively. Net Debt (defined as long-term debt, net plus long-term debt due within one year less cash and cash equivalents) decreased from $1,946.3 million as of April 30, 2020 to $1,508.7 million as of April 30, 2021.</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2020, we entered into a Fourth Amendment to the Vail Holdings Credit Agreement. Pursuant to the Fourth Amendment, among other terms, we are exempt from complying with the Vail Holdings Credit Agreement’s maximum leverage ratio, maximum senior secured leverage ratio and minimum interest coverage ratio financial maintenance covenants for each of the fiscal quarters ending through January 31, 2022 (unless we make a one-time irrevocable election to terminate such exemption period prior to such date), after which we will again be required to comply with such covenants starting with the fiscal quarter ending April 30, 2022 (or such earlier fiscal quarter as elected by us). After the expiration of the Financial Covenants Temporary Waiver Period:</w:t>
      </w:r>
    </w:p>
    <w:p>
      <w:pPr>
        <w:spacing w:after="0" w:line="8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ratio permitted under the maximum leverage ratio financial maintenance covenant shall be 6.25 to 1.00;</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ratio permitted under the senior secured leverage ratio financial maintenance covenant shall be 4.00 to 1.00; and</w:t>
      </w:r>
    </w:p>
    <w:p>
      <w:pPr>
        <w:spacing w:after="0" w:line="63"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minimum ratio permitted under the minimum interest coverage ratio financial maintenance covenant will be 2.00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We will be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420" w:hanging="412"/>
        <w:spacing w:after="0" w:line="286" w:lineRule="auto"/>
        <w:tabs>
          <w:tab w:leader="none" w:pos="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paying any dividends or making share repurchases, unless (x) no default or potential default exists under the Vail Holdings Credit Agreement and (y) we have liquidity (as defined below) of at least $300.0 million, and the aggregate amount of dividends paid and share repurchases made by the Company during the Financial Covenants Temporary Waiver Period may not exceed $38.2 million in any fiscal quarter;</w:t>
      </w:r>
    </w:p>
    <w:p>
      <w:pPr>
        <w:spacing w:after="0" w:line="3" w:lineRule="exact"/>
        <w:rPr>
          <w:rFonts w:ascii="Arial" w:cs="Arial" w:eastAsia="Arial" w:hAnsi="Arial"/>
          <w:sz w:val="17"/>
          <w:szCs w:val="17"/>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incurring indebtedness secured by the collateral under the Vail Holdings Credit Agreement in an amount in excess of $1.75 billion; and</w:t>
      </w:r>
    </w:p>
    <w:p>
      <w:pPr>
        <w:spacing w:after="0" w:line="63" w:lineRule="exact"/>
        <w:rPr>
          <w:rFonts w:ascii="Arial" w:cs="Arial" w:eastAsia="Arial" w:hAnsi="Arial"/>
          <w:sz w:val="18"/>
          <w:szCs w:val="18"/>
          <w:color w:val="auto"/>
        </w:rPr>
      </w:pPr>
    </w:p>
    <w:p>
      <w:pPr>
        <w:ind w:left="420" w:hanging="412"/>
        <w:spacing w:after="0" w:line="277" w:lineRule="auto"/>
        <w:tabs>
          <w:tab w:leader="none" w:pos="4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certain non-ordinary course investments in similar businesses, joint ventures and unrestricted subsidiaries unless the Company has liquidity (as defined below) of at least $300.0 million.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Fourth Amendment also removed certain restrictions under the Financial Covenants Temporary Waiver Period, including (i) removing the restriction on acquisitions so long as we have liquidity (as defined below) of at least $300.0 million and (ii) removing the $200.0 million annual limit on capital expenditures.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required to comply with a monthly minimum liquidity test (liquidity is defined as unrestricted cash and temporary cash investments of VRI and its restricted subsidiaries and available commitments under the Vail Holdings Credit Agreement revolver) of not less than $150.0 million, during the period that began July 31, 2020 and ending on the date we deliver a compliance certificate for the Company and its subsidiaries’ first fiscal quarter following the end of the Financial Covenants Temporary Waiver Period.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bear interest annually at LIBOR plus 2.50% and, for amounts in excess of $400.0 million, LIBOR is subject to a floor of 0.25% (which has decreased from the floor of 0.75% that was in effect prior to the Fourth Amendment).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18, 2020, we completed our offering of $575.0 million in aggregate principal amount of 0.0% Convertible Notes due 2026 in a private placement conducted pursuant to Rule 144A of the Securities Act. The 0.0% Convertible Notes were issued under an Indenture dated December 18, 2020 (the “Indenture”) between us and U.S. Bank National Association, as Trustee. The 0.0% Convertible Notes do not bear regular interest and the principal amount does not accrete. The 0.0% Convertible Notes mature on January 1, 2026, unless earlier repurchased, redeemed or converted.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0.0% Convertible Notes are our general senior unsecured obligations. The 0.0% Convertible Notes rank senior in right of payment to any future debt that is expressly subordinated, equal in right of payment with our existing and future liabilities that are not so subordinated, and are subordinated to all of our existing and future secured debt to the extent of the value of the assets securing such debt. The 0.0% Convertible Notes will also be structurally subordinated to all of the existing and future liabilities and obligations of our subsidiaries, including such subsidiaries’ guarantees of the 6.25% Notes.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conversion rate was 2.4560 shares per $1,000 principal amount of notes (the “Conversion Rate”), which represents an initial conversion price of approximately $407.17 per share (the “Conversion Price”), and is subject to adjustment upon the occurrence of certain specified events as described in the Indenture. The principal amount of the 0.0% Convertible Notes is required to be settled in cash. We will settle conversions by paying cash, delivering shares of our common stock, or a combination of the two, at our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420" w:hanging="412"/>
        <w:spacing w:after="0" w:line="263"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75" w:lineRule="exact"/>
        <w:rPr>
          <w:rFonts w:ascii="Arial" w:cs="Arial" w:eastAsia="Arial" w:hAnsi="Arial"/>
          <w:sz w:val="18"/>
          <w:szCs w:val="18"/>
          <w:color w:val="auto"/>
        </w:rPr>
      </w:pPr>
    </w:p>
    <w:p>
      <w:pPr>
        <w:jc w:val="both"/>
        <w:ind w:left="420" w:hanging="412"/>
        <w:spacing w:after="0" w:line="311" w:lineRule="auto"/>
        <w:tabs>
          <w:tab w:leader="none" w:pos="4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40" w:lineRule="exact"/>
        <w:rPr>
          <w:rFonts w:ascii="Arial" w:cs="Arial" w:eastAsia="Arial" w:hAnsi="Arial"/>
          <w:sz w:val="16"/>
          <w:szCs w:val="16"/>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our common stock, as described in the Indenture;</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call the 0.0% Convertible Notes for redemption;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 any time from, and including, July 1, 2025 until the close of business on the scheduled trading day immediately before the maturity date.</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0.0% Convertible Notes will be redeemable, in whole or in part, at our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our common stock exceeds 130% of the Conversion Price for a specified period of time. If we elect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upon the occurrence of a fundamental change (as defined in the Indenture), holders of the 0.0% Convertible Notes may require us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Indenture) occur, the Conversion Rate for the 0.0% Convertible Notes may be increased for a specified period of time.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Indenture includes customary events of default, including failure to make payment, failure to comply with the obligations set forth in the Indenture, certain defaults on certain other indebtedness, and certain events of bankruptcy, insolvency or reorganization. We may elect, at our option, that the sole remedy for an event of default relating to certain failures by the Company to comply with certain reporting covenants in the Indenture will consist exclusively of the right of the holders of the 0.0% Convertible Notes to receive additional interest on the notes for up to 360 days following such failure.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2021, the Vail Holdings Credit Agreement provides for (i) a revolving loan facility in an aggregate principal amount of $500.0 million and</w:t>
      </w:r>
    </w:p>
    <w:p>
      <w:pPr>
        <w:spacing w:after="0" w:line="46" w:lineRule="exact"/>
        <w:rPr>
          <w:sz w:val="20"/>
          <w:szCs w:val="20"/>
          <w:color w:val="auto"/>
        </w:rPr>
      </w:pPr>
    </w:p>
    <w:p>
      <w:pPr>
        <w:ind w:firstLine="8"/>
        <w:spacing w:after="0" w:line="260"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term loan facility of $1.2 billion. We expect that our liquidity needs in the near term will be met by continued use of operating cash flows and borrowings under the 6.25% Notes, the 0.0% Convertible Notes, the Vail Holdings Credit Agreement and the Whistler Credit Agreement.</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service requirements can be impacted by changing interest rates as we had approximately $0.8 billion of variable-rate debt outstanding as of April 30, 2021. A 100-basis point change in our borrowing rates would cause our annual interest payments to change by approximately $8.5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the COVID-19 pandemic, by managing our capital expenditures, variable operating expenses, the timing of new real estate development activity and the payment of cash dividends on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announced on April 1, 2020 that we suspended the declaration of our quarterly dividend for at least two quarters in response to the COVID-19 pandemic. Additionally, pursuant to the Fourth Amendment, we are prohibited from paying any dividends during the Financial Covenants Temporary Waiver Period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 For the nine months ended April 30, 2021, we did not pay cash dividends. The amount, if any, of the dividends to be paid in the future will depend on our available cash on hand, anticipated cash needs, overall financial condition, restrictions in our Vail Holdings Credit Agreement, future prospects for earnings and cash flows, as well as other factors considered relevant by our Board of Directors.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Pursuant to the Fourth Amendment, we are prohibited from repurchasing shares of common stock during the Financial Covenants Temporary Waiver Period unless (x) no default or potential default exists under the Vail Holdings Credit Agreement and (y) the Company has liquidity (as defined below) of at least $300.0 million, and the aggregate amount of dividends paid and share repurchases made by the Company during the Financial Covenants Temporary Waiver Period may not exceed $38.2 million in any fiscal quarter. We did not repurchase Vail Shares during the nine months ended April 30, 2021. During the nine months ended April 30, 2020, we repurchased 256,418 Vail Shares (at a total cost of approximately $46.4 million). Since inception of this stock repurchase program through April 30, 2021, we have repurchased 6,161,141 Vail Shares at a cost of approximately $404.4 million. As of April 30, 2021, 1,338,859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Fourth Amendment, we are exempt from complying with the restrictive financial covenants of the Vail Holdings Credit Agreement during the Financial Covenants Temporary Waiver Period, but are required to comply with a monthly minimum liquidity test during such period (liquidity is defined as unrestricted cash and temporary cash investments of VHI and its restricted subsidiaries and available commitments under the Vail Holdings Credit Agreement revolver).</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April 30, 2021.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revenues, expenses, results of operations, liquidity, capital expenditures or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jc w:val="both"/>
        <w:ind w:left="820" w:hanging="650"/>
        <w:spacing w:after="0" w:line="255"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Epic Coverage program;</w:t>
      </w:r>
    </w:p>
    <w:p>
      <w:pPr>
        <w:spacing w:after="0" w:line="2"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Peak Resorts, Hotham, Falls Creek or future acquisitions;</w:t>
      </w: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as compared to the U.S. dollar;</w:t>
      </w:r>
    </w:p>
    <w:p>
      <w:pPr>
        <w:ind w:left="820" w:right="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w:t>
      </w:r>
    </w:p>
    <w:p>
      <w:pPr>
        <w:jc w:val="both"/>
        <w:ind w:left="820" w:hanging="650"/>
        <w:spacing w:after="0" w:line="250" w:lineRule="auto"/>
        <w:tabs>
          <w:tab w:leader="none" w:pos="81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and</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and Part II, Item 1A “Risk Factors” of this Form 10-Q for the quarter ended April 30, 2021.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April 30, 2021, we had approximately $0.8 billion of variable rate indebtedness (after taking into consideration $400.0 million in interest rate swaps which converts variable-rate debt to fixed-rate debt), representing approximately 29% of our total debt outstanding, at an average interest rate during the three and nine months ended April 30, 2021 of approximately 2.6% and 2.9%, respectively. Based on variable-rate borrowings outstanding as of April 30, 2021, a 100-basis point (or 1.0%) change in our borrowing rates would result in our annual interest payments changing by approximately $8.5 million. Our market risk exposure fluctuates based on changes in underlying interest rates.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gains (losses), and foreign currency gain (loss) on intercompany loans recognized in comprehensive income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Nine Months Ended April 30,</w:t>
            </w:r>
          </w:p>
        </w:tc>
        <w:tc>
          <w:tcPr>
            <w:tcW w:w="66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 net of tax</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132,167</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(78,260)</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gain (loss) on intercompany loans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9,832</w:t>
            </w:r>
          </w:p>
        </w:tc>
        <w:tc>
          <w:tcPr>
            <w:tcW w:w="106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as amended (the “Act”), as of the end of the period covered by this report on Form 10-Q.</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three and nine months ended April 30, 2021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information set forth elsewhere in this Form 10-Q, you should carefully consider the factors we previously disclosed in our Annual Report on Form 10-K, filed with the SEC on September 24, 2020, as of and for the year ended July 31, 2020, in addition to the risk factor set forth below. These risks could materially and adversely affect our business, financial condition and results of operations.</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212529"/>
        </w:rPr>
        <w:t>The outbreak of COVID-19 has had, and could continue to have, a significant negative impact on our financial condition and operations. Further, the spread of COVID-19 has caused severe disruptions in the U.S. and global economies and financial markets and could potentially create widespread business continuity issues of an as yet unknown magnitude and duration. Any future outbreak of any other highly infectious or contagious disease could have a similar impact.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12529"/>
        </w:rPr>
        <w:t>The outbreak of COVID-19 has disrupted our business, and has had and could continue to have a significant negative impact on our business, financial</w:t>
      </w:r>
    </w:p>
    <w:p>
      <w:pPr>
        <w:spacing w:after="0" w:line="4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212529"/>
        </w:rPr>
        <w:t>performance and condition, operating results, liquidity and cash flows. Governmental authorities have taken and continue to take actions by mandating various restrictions in an effort to slow the spread of the novel coronavirus (COVID-19), including travel restrictions, border closures, restrictions on public gatherings, occupancy limits, “shelter at home’’ orders and advisories, and quarantining. The outbreak of COVID-19 has impacted global economic activity and caused significant volatility in financial markets, with particular risk to the travel and leisure industry, which is disproportionately impacted by travel restrictions and other public health restrictions.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12529"/>
        </w:rPr>
        <w:t>In response to the continued challenges associated with the spread of COVID-19, we closed all of our North American mountain resorts, retail/rental stores and lodging properties early for the 2019/2020 North American ski season in March 2020. We also closed our Hotham and Falls Creek resorts on July 6, 2020 due to a “stay at home” order put in place by the Victorian government. On March 30, 2021, towards the end of the operating season and following an</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212529"/>
        </w:rPr>
        <w:t>order from the government of British Columbia as a result of a reemergence of COVID-19 cases in the region, we closed Whistler Blackcomb. Other than our closure of Whistler Blackcomb late in the season, our North American resorts were operational throughout the 2020/2021 ski season, and we are monitoring public health orders and regulations affecting our summer operations and the 2021 Australian ski season.</w:t>
      </w:r>
    </w:p>
    <w:p>
      <w:pPr>
        <w:spacing w:after="0" w:line="19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Even our operations that have resumed continue to be adversely impacted by government mandated restrictions (such as density limitations and travel restrictions); measures we voluntarily implement; the distancing practices and health concerns of consumers; hiring and retaining of talent and production of workers; and logistical limitations. </w:t>
      </w:r>
      <w:r>
        <w:rPr>
          <w:rFonts w:ascii="Arial" w:cs="Arial" w:eastAsia="Arial" w:hAnsi="Arial"/>
          <w:sz w:val="18"/>
          <w:szCs w:val="18"/>
          <w:color w:val="212529"/>
        </w:rPr>
        <w:t>Factors that would negatively impact our ability to successfully operate during the current outbreak of COVID-19 or</w:t>
      </w:r>
      <w:r>
        <w:rPr>
          <w:rFonts w:ascii="Arial" w:cs="Arial" w:eastAsia="Arial" w:hAnsi="Arial"/>
          <w:sz w:val="18"/>
          <w:szCs w:val="18"/>
          <w:color w:val="auto"/>
        </w:rPr>
        <w:t xml:space="preserve"> </w:t>
      </w:r>
      <w:r>
        <w:rPr>
          <w:rFonts w:ascii="Arial" w:cs="Arial" w:eastAsia="Arial" w:hAnsi="Arial"/>
          <w:sz w:val="18"/>
          <w:szCs w:val="18"/>
          <w:color w:val="212529"/>
        </w:rPr>
        <w:t>another pandemic include:</w:t>
      </w:r>
    </w:p>
    <w:p>
      <w:pPr>
        <w:spacing w:after="0" w:line="229" w:lineRule="exact"/>
        <w:rPr>
          <w:sz w:val="20"/>
          <w:szCs w:val="20"/>
          <w:color w:val="auto"/>
        </w:rPr>
      </w:pPr>
    </w:p>
    <w:p>
      <w:pPr>
        <w:ind w:left="660" w:hanging="328"/>
        <w:spacing w:after="0" w:line="23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our ability to open and keep open our resorts in season, including our North American Resorts for their upcoming summer season and our Australian resorts for their upcoming winter season;</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our ability to attract and retain guests given the risks, or perceived risks, of gathering in public places;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the willingness of guests to travel or purchase advanced commitment products, such as our portfolio of season pass products;</w:t>
      </w:r>
    </w:p>
    <w:p>
      <w:pPr>
        <w:spacing w:after="0" w:line="2" w:lineRule="exact"/>
        <w:rPr>
          <w:rFonts w:ascii="Arial" w:cs="Arial" w:eastAsia="Arial" w:hAnsi="Arial"/>
          <w:sz w:val="20"/>
          <w:szCs w:val="20"/>
          <w:color w:val="auto"/>
        </w:rPr>
      </w:pPr>
    </w:p>
    <w:p>
      <w:pPr>
        <w:ind w:left="660" w:right="20" w:hanging="328"/>
        <w:spacing w:after="0" w:line="22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existing or future restrictions imposed by governmental authorities, including quarantine requirements, capacity, indoor dining or other restrictions that may affect our operations or the ability of our guests to return to our Resorts;</w:t>
      </w:r>
    </w:p>
    <w:p>
      <w:pPr>
        <w:jc w:val="both"/>
        <w:ind w:left="660" w:hanging="328"/>
        <w:spacing w:after="0" w:line="22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6"/>
          <w:szCs w:val="16"/>
          <w:color w:val="212529"/>
        </w:rPr>
        <w:t>our ability to incentivize and retain our current employees, attract and hire sufficient seasonal employees, and maintain current level of staffing;</w:t>
      </w:r>
    </w:p>
    <w:p>
      <w:pPr>
        <w:spacing w:after="0" w:line="10" w:lineRule="exact"/>
        <w:rPr>
          <w:rFonts w:ascii="Arial" w:cs="Arial" w:eastAsia="Arial" w:hAnsi="Arial"/>
          <w:sz w:val="18"/>
          <w:szCs w:val="18"/>
          <w:color w:val="auto"/>
        </w:rPr>
      </w:pPr>
    </w:p>
    <w:p>
      <w:pPr>
        <w:ind w:left="640" w:hanging="308"/>
        <w:spacing w:after="0" w:line="223"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the risk of lawsuits related to COVID-19 or another pandemic;</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our ability to access debt and equity capital on attractive terms, or at all; and</w:t>
      </w:r>
    </w:p>
    <w:p>
      <w:pPr>
        <w:spacing w:after="0" w:line="2" w:lineRule="exact"/>
        <w:rPr>
          <w:rFonts w:ascii="Arial" w:cs="Arial" w:eastAsia="Arial" w:hAnsi="Arial"/>
          <w:sz w:val="20"/>
          <w:szCs w:val="20"/>
          <w:color w:val="auto"/>
        </w:rPr>
      </w:pPr>
    </w:p>
    <w:p>
      <w:pPr>
        <w:ind w:left="660" w:hanging="328"/>
        <w:spacing w:after="0" w:line="221"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18"/>
          <w:szCs w:val="18"/>
          <w:color w:val="212529"/>
        </w:rPr>
        <w:t>the impact of disruption and instability in the global financial markets or deterioration in credit and financing conditions on our access to capital necessary to fund operating costs, including maintenance capital spending, or to address maturing liabilities.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212529"/>
        </w:rPr>
        <w:t>The extent and duration of the impact of COVID-19 on our business, consolidated results of operations, consolidated financial position and consolidated</w:t>
      </w:r>
    </w:p>
    <w:p>
      <w:pPr>
        <w:spacing w:after="0" w:line="2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212529"/>
        </w:rPr>
        <w:t>cash flows, will depend largely on future developments, including the duration and spread of the outbreak</w:t>
      </w:r>
      <w:r>
        <w:rPr>
          <w:rFonts w:ascii="Arial" w:cs="Arial" w:eastAsia="Arial" w:hAnsi="Arial"/>
          <w:sz w:val="21"/>
          <w:szCs w:val="21"/>
          <w:color w:val="212529"/>
        </w:rPr>
        <w:t>,</w:t>
      </w:r>
      <w:r>
        <w:rPr>
          <w:rFonts w:ascii="Arial" w:cs="Arial" w:eastAsia="Arial" w:hAnsi="Arial"/>
          <w:sz w:val="18"/>
          <w:szCs w:val="18"/>
          <w:color w:val="212529"/>
        </w:rPr>
        <w:t xml:space="preserve"> the speed and coverage of vaccine rollouts, any continuing travel restrictions or vaccination requirements in connection with travel, the related impact on factors affecting guest behavior, including consumer confidence and spending, and when we will be able to resume normal operations, all of which are highly uncertain and cannot be predicted. In April 2020 we introduced Epic Coverage, which provides refunds to all pass holders in the event of certain resort closures (including closures due to COVID-19) for any portion of the season that is not able to be utilized, subject to express terms and conditions. Accordingly, to the extent that any of our Resorts would need to be closed for all or any portion of the North American ski season (including due to COVID-19), we could be required to provide a significant amount of refunds to our customers, subject to express terms and conditions, which could have a material negative impact on our financial performance and condition.</w:t>
      </w:r>
    </w:p>
    <w:p>
      <w:pPr>
        <w:spacing w:after="0" w:line="20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212529"/>
        </w:rPr>
        <w:t>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The terms of future debt agreements could include more restrictive covenants, or require incremental collateral, which may further restrict our business operations. There is no guarantee that debt or equity markets will be available in the future to fund our obligations, or that they will be available on terms consistent with our expectations. In addition, because of reduced travel demand, certain of our leased properties may not generate revenue sufficient to meet operating expenses.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212529"/>
        </w:rPr>
        <w:t>COVID-19 presents material uncertainty and risk with respect to our business, financial performance and condition, operating results, liquidity and cash flows. To the extent the COVID -19 pandemic adversely affects our business and financial results, it may also have the effect of heightening many of the other risks described in the Risk Factors presented in our Annual Report on Form 10-K, and our subsequent filings with the SEC. Any future outbreak of any other highly infectious or contagious disease could have a similar impact.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April 30, 2021, 33,882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20" w:type="dxa"/>
            <w:vAlign w:val="bottom"/>
            <w:gridSpan w:val="2"/>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40" w:hanging="1314"/>
        <w:spacing w:after="0" w:line="235" w:lineRule="auto"/>
        <w:tabs>
          <w:tab w:leader="none" w:pos="1340" w:val="left"/>
        </w:tabs>
        <w:numPr>
          <w:ilvl w:val="0"/>
          <w:numId w:val="25"/>
        </w:numPr>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906 of the Sarbanes-Oxley Act of 2002.</w:t>
        </w:r>
      </w:hyperlink>
    </w:p>
    <w:p>
      <w:pPr>
        <w:spacing w:after="0" w:line="64"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Schema Document.</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340" w:hanging="131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3420" w:type="dxa"/>
            <w:vAlign w:val="bottom"/>
          </w:tcPr>
          <w:p>
            <w:pPr>
              <w:spacing w:after="0"/>
              <w:rPr>
                <w:sz w:val="20"/>
                <w:szCs w:val="20"/>
                <w:color w:val="auto"/>
              </w:rPr>
            </w:pPr>
            <w:r>
              <w:rPr>
                <w:rFonts w:ascii="Arial" w:cs="Arial" w:eastAsia="Arial" w:hAnsi="Arial"/>
                <w:sz w:val="18"/>
                <w:szCs w:val="18"/>
                <w:color w:val="auto"/>
              </w:rPr>
              <w:t>Date: June 7, 2021</w:t>
            </w: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30"/>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3420" w:type="dxa"/>
            <w:vAlign w:val="bottom"/>
          </w:tcPr>
          <w:p>
            <w:pPr>
              <w:spacing w:after="0"/>
              <w:rPr>
                <w:sz w:val="20"/>
                <w:szCs w:val="20"/>
                <w:color w:val="auto"/>
              </w:rPr>
            </w:pPr>
            <w:r>
              <w:rPr>
                <w:rFonts w:ascii="Arial" w:cs="Arial" w:eastAsia="Arial" w:hAnsi="Arial"/>
                <w:sz w:val="18"/>
                <w:szCs w:val="18"/>
                <w:color w:val="auto"/>
              </w:rPr>
              <w:t>Date: June 7, 2021</w:t>
            </w: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3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1300"/>
              <w:spacing w:after="0" w:line="176" w:lineRule="exact"/>
              <w:rPr>
                <w:sz w:val="20"/>
                <w:szCs w:val="20"/>
                <w:color w:val="auto"/>
              </w:rPr>
            </w:pPr>
            <w:r>
              <w:rPr>
                <w:rFonts w:ascii="Arial" w:cs="Arial" w:eastAsia="Arial" w:hAnsi="Arial"/>
                <w:sz w:val="18"/>
                <w:szCs w:val="18"/>
                <w:color w:val="auto"/>
              </w:rPr>
              <w:t>Vice President, Controller and</w:t>
            </w:r>
          </w:p>
        </w:tc>
      </w:tr>
      <w:tr>
        <w:trPr>
          <w:trHeight w:val="229"/>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891"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7,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7,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2021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7, 2021</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Robert A. Katz</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7, 2021</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lowerLetter"/>
      <w:start w:val="1"/>
    </w:lvl>
    <w:lvl w:ilvl="1">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2"/>
    </w:lvl>
    <w:lvl w:ilvl="1">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1."/>
      <w:numFmt w:val="lowerRoman"/>
      <w:start w:val="1"/>
    </w:lvl>
  </w:abstractNum>
  <w:abstractNum w:abstractNumId="11">
    <w:nsid w:val="62BBD95A"/>
    <w:multiLevelType w:val="hybridMultilevel"/>
    <w:lvl w:ilvl="0">
      <w:lvlJc w:val="left"/>
      <w:lvlText w:val="%1."/>
      <w:numFmt w:val="lowerRoman"/>
      <w:start w:val="2"/>
    </w:lvl>
    <w:lvl w:ilvl="1">
      <w:lvlJc w:val="left"/>
      <w:lvlText w:val="%2."/>
      <w:numFmt w:val="lowerRoman"/>
      <w:start w:val="4"/>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Roman"/>
      <w:start w:val="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32"/>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2021-06-07T15:17:09Z</dcterms:created>
  <dcterms:modified xsi:type="dcterms:W3CDTF">2021-06-07T15:17:09Z</dcterms:modified>
</cp:coreProperties>
</file>